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46602-2023 i Hässleholms kommun</w:t>
      </w:r>
    </w:p>
    <w:p>
      <w:r>
        <w:t>Detta klagomål behandlar höga naturvärden i avverkningsanmälan A 46602-2023 i Hässleholms kommun som inkom 2023-09-25 och omfattar 7,3 ha.</w:t>
      </w:r>
    </w:p>
    <w:p>
      <w:pPr>
        <w:pStyle w:val="Caption"/>
      </w:pPr>
      <w:r>
        <w:drawing>
          <wp:inline xmlns:a="http://schemas.openxmlformats.org/drawingml/2006/main" xmlns:pic="http://schemas.openxmlformats.org/drawingml/2006/picture">
            <wp:extent cx="5486400" cy="5561814"/>
            <wp:docPr id="1" name="Picture 1"/>
            <wp:cNvGraphicFramePr>
              <a:graphicFrameLocks noChangeAspect="1"/>
            </wp:cNvGraphicFramePr>
            <a:graphic>
              <a:graphicData uri="http://schemas.openxmlformats.org/drawingml/2006/picture">
                <pic:pic>
                  <pic:nvPicPr>
                    <pic:cNvPr id="0" name="A 46602-2023 karta.png"/>
                    <pic:cNvPicPr/>
                  </pic:nvPicPr>
                  <pic:blipFill>
                    <a:blip r:embed="rId16"/>
                    <a:stretch>
                      <a:fillRect/>
                    </a:stretch>
                  </pic:blipFill>
                  <pic:spPr>
                    <a:xfrm>
                      <a:off x="0" y="0"/>
                      <a:ext cx="5486400" cy="5561814"/>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6206523, E 419139 i SWEREF 99 TM.</w:t>
      </w:r>
    </w:p>
    <w:p>
      <w:r>
        <w:t>I och inom 5 meter från avverkningsanmälan finns fynd av 3 naturvårdsarter, varav 3 är rödlistade och 1 är typisk (T): lungrot (VU), rosa lundlav (VU, T) och liten lundlav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Rosa lundlav (VU)</w:t>
      </w:r>
      <w:r>
        <w:t xml:space="preserve"> växer på ädellövträd i gamla skogar med hög och jämn luftfuktighet och signalerar skyddsvärda ädellövskogar med lång kontinuitet. Minskningstakten uppgår till 30 (20–50) % inom 50 år och överstiger gränsvärdet för Sårbar (VU). Lokaler med rika förekomster bör skyddas. Rosa lundlav är typisk art för </w:t>
      </w:r>
      <w:r>
        <w:rPr>
          <w:i/>
        </w:rPr>
        <w:t xml:space="preserve">9020 Nordlig ädellövskog, 9110 Näringsfattig bokskog, 9130 Näringsrik bokskog </w:t>
      </w:r>
      <w:r>
        <w:t>och</w:t>
      </w:r>
      <w:r>
        <w:rPr>
          <w:i/>
        </w:rPr>
        <w:t xml:space="preserve"> 9180 Ädellövskog i branter</w:t>
      </w:r>
      <w:r>
        <w:t xml:space="preserve"> (SLU Artdatabanken, 2024; Nitare &amp; Skogsstyrelsen, 2019).</w:t>
      </w:r>
    </w:p>
    <w:p>
      <w:r>
        <w:rPr>
          <w:b/>
        </w:rPr>
        <w:t xml:space="preserve">Liten lundlav (NT) </w:t>
      </w:r>
      <w:r>
        <w:t>växer i Syd- och Mellansverige i gamla ädellövskogar med lång trädkontinuitet, främst på bok. Oftast på gamla senvuxna träd med grov och sprucken bark. Arten påverkas negativt av brist på kontinuitetsskog och lämpliga träd nyskapas i mycket begränsad omfattning. Minskningstakten uppgår till 15 (10–25) % inom 50 år och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