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18987-2024 i Hässleholms kommun</w:t>
      </w:r>
    </w:p>
    <w:p>
      <w:r>
        <w:t>Detta dokument behandlar höga naturvärden i avverkningsanmälan A 18987-2024 i Hässleholms kommun. Denna avverkningsanmälan inkom 2024-05-15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ask (EN), vedlavklubba (VU), ädelkronlav (VU), Bacidina phacodes/tarandina (NT), bokkantlav (NT), bokvårtlav (NT), koralltaggsvamp (NT), orangepudrad klotterlav (NT), spillkråka (NT, §4), sydlig sotticka (NT), violettgrå porlav (NT), barkkornlav (S), bokfjädermossa (S), fällmossa (S), grov fjädermossa (S), guldlockmossa (S), gulnål (S), havstulpanlav (S), klippfrullania (S), kornig nållav (S), lönnlav (S), platt fjädermossa (S), rostfläck (S) och västlig hakmossa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8987-2024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6233673, E 427728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Orangepudrad klotterlav (NT)</w:t>
      </w:r>
      <w:r>
        <w:t xml:space="preserve"> växer på ved och bark av bok, men även andra lövträd, i skogar och bryn med hög luftfuktighet. Arten förekommer mest i fuktiga och skuggiga, slutna skogar, raviner och branter, oftast på mycket gamla, helt eller delvis döda träd med blottad ved. Den kan även finnas på lite öppnare lokaler men är bunden till skog och lövängar med lång kontinuitet. I Mellansverige växer den i gamla ädellövsskogar med hög luftfuktighet vid basen av lövträd. Arten växer ofta tillsammans med flera andra rödlistade lavar. På lokaler med arten får inte ljus- och fuktighetsförhållanden ändras eller den skogliga kontinuiteten brytas (SLU Artdatabanken, 2026).</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Sydlig sotticka (NT) </w:t>
      </w:r>
      <w:r>
        <w:t>påträffas i sydliga ädellövskogar på grova liggande lövvedsstammar och stubbar. Den växer främst på bok och alm, men även lind och björk. Arten hotas av brist på lämpliga kvalitéer av död ved. Ingrepp som innebär att lågor och döda eller skadade träd tas bort missgynnar arten. En slutavverkning, skoglig gallring eller annat uttag av virke på växtplatsen som ger ett förändrat lokalklimat innebär ett direkt hot. För att säkerställa artens fortlevnad bör man se till att artens växtplatser hålls intakta, att de inte omförs till barrskog och att ny död ved tillkommer, gärna i omedelbar anslutning. Befintliga vindfällen, döende träd, torrakor och lågor lämnas intakta. Ett långsiktigt tillförsäkrande om framtida tillgång till ved är en förutsättning för artens fortlevnad (SLU Artdatabanken, 2025).</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