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18989-2024 i Hässleholms kommun</w:t>
      </w:r>
    </w:p>
    <w:p>
      <w:r>
        <w:t>Detta klagomål behandlar höga naturvärden i avverkningsanmälan A 18989-2024 i Hässleholms kommun som inkom 2024-05-15 och omfattar 10,2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8989-2024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6233234, E 428232 i SWEREF 99 TM.</w:t>
      </w:r>
    </w:p>
    <w:p>
      <w:r>
        <w:t>I och inom 11 meter från avverkningsanmälan finns fynd av 26 naturvårdsarter, varav 10 är rödlistade, 2 är fridlysta, 16 är typiska (T) och 15 är signalarter (S): röd pysslinglav (VU), ädelkronlav (VU), bokkantlav (NT, T), bokvårtlav (NT, T), grönsångare (NT, §4), gullpudra (NT, T), orangepudrad klotterlav (NT), stiftklotterlav (NT, T), sydlig sotticka (NT), violettgrå porlav (NT), barkkornlav (S, T), blanksvart trämyra (S), bokfjädermossa (S, T), fällmossa (S, T), grov fjädermossa (S, T), guldlockmossa (S, T), gulnål (S, T), havstulpanlav (S, T), klippfrullania (S, T), kornig nållav (S, T), lönnlav (S), platt fjädermossa (S, T), rikfruktig blemlav (S), trädporella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