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18987-2024 i Hässleholms kommun</w:t>
      </w:r>
    </w:p>
    <w:p>
      <w:r>
        <w:t>Detta klagomål behandlar höga naturvärden i avverkningsanmälan A 18987-2024 i Hässleholms kommun som inkom 2024-05-15 och omfattar 7,1 ha.</w:t>
      </w:r>
    </w:p>
    <w:p>
      <w:pPr>
        <w:pStyle w:val="Caption"/>
      </w:pPr>
      <w:r>
        <w:drawing>
          <wp:inline xmlns:a="http://schemas.openxmlformats.org/drawingml/2006/main" xmlns:pic="http://schemas.openxmlformats.org/drawingml/2006/picture">
            <wp:extent cx="5486400" cy="5382705"/>
            <wp:docPr id="1" name="Picture 1"/>
            <wp:cNvGraphicFramePr>
              <a:graphicFrameLocks noChangeAspect="1"/>
            </wp:cNvGraphicFramePr>
            <a:graphic>
              <a:graphicData uri="http://schemas.openxmlformats.org/drawingml/2006/picture">
                <pic:pic>
                  <pic:nvPicPr>
                    <pic:cNvPr id="0" name="A 18987-2024 karta.png"/>
                    <pic:cNvPicPr/>
                  </pic:nvPicPr>
                  <pic:blipFill>
                    <a:blip r:embed="rId16"/>
                    <a:stretch>
                      <a:fillRect/>
                    </a:stretch>
                  </pic:blipFill>
                  <pic:spPr>
                    <a:xfrm>
                      <a:off x="0" y="0"/>
                      <a:ext cx="5486400" cy="538270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6233673, E 427728 i SWEREF 99 TM.</w:t>
      </w:r>
    </w:p>
    <w:p>
      <w:r>
        <w:t>I och inom 25 meter från avverkningsanmälan finns fynd av 27 naturvårdsarter, varav 12 är rödlistade, 1 är fridlyst, 18 är typiska (T) och 14 är signalarter (S): ask (EN), vedlavklubba (VU), ädelkronlav (VU), bokkantlav (NT, T), bokvårtlav (NT, T), gullpudra (NT, T), koralltaggsvamp (NT, T), liten lundlav (NT), orangepudrad klotterlav (NT), stiftklotterlav (NT, T), sydlig sotticka (NT), violettgrå porlav (NT), barkkornlav (S, T), bokfjädermossa (S, T), fällmossa (S, T), grov fjädermossa (S, T), guldlockmossa (S, T), gulnål (S, T), havstulpanlav (S, T), klippfrullania (S, T), kornig nållav (S, T), lönnlav (S), platt fjädermossa (S, T), rostfläck (S, T), skuggmossa (S, T), västlig hakmossa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Vedlavklubba (VU)</w:t>
      </w:r>
      <w:r>
        <w:t xml:space="preserve"> är en sällsynt art som växer på lågor av lövträd, helst asp och bok. Den förekommer huvudsakligen i skogsmiljöer med rik tillgång på grov död och ved, oftast i skogar med hög luftfuktighet som inte har kalavverkats. Svampen är sannolikt mycket känslig för all form av avverkning eller dränering som medför att växtplatsen får ett torrare mikroklimat (SLU Artdatabanken, 2024; Nitare &amp; Skogsstyrelsen, 2019).</w:t>
      </w:r>
    </w:p>
    <w:p>
      <w:r>
        <w:rPr>
          <w:b/>
        </w:rPr>
        <w:t>Ädelkronlav (VU)</w:t>
      </w:r>
      <w:r>
        <w:t xml:space="preserve"> är en mycket sällsynt, suboceanisk art som förekommer i gamla och fuktiga ädellövskogar i halvöppna eller slutna miljöer, helst gammal bokskog. Många växtplatser är belägna i bergbranter, raviner eller bäckdalar och ofta nära vatten. Arten är placerad högst upp i Skogsstyrelsens värdepyramid för bedömning av skog med höga naturvärden och finns bara i områden med särskilt höga naturvärden. Arten försvinner eller missgynnas starkt vid all form av avverkning på eller i direkt anslutning till lokalerna (Nitare &amp; Skogsstyrelsen, 2019).</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 xml:space="preserve">Liten lundlav (NT) </w:t>
      </w:r>
      <w:r>
        <w:t>växer i Syd- och Mellansverige i gamla ädellövskogar med lång trädkontinuitet, främst på bok. Oftast på gamla senvuxna träd med grov och sprucken bark. Arten påverkas negativt av brist på kontinuitetsskog och lämpliga träd nyskapas i mycket begränsad omfattning. Minskningstakten uppgår till 15 (10–25) % inom 50 år och bedöms vara nära gränsvärdet för sårbar (VU) (SLU Artdatabanken, 2026).</w:t>
      </w:r>
    </w:p>
    <w:p>
      <w:r>
        <w:rPr>
          <w:b/>
        </w:rPr>
        <w:t>Orangepudrad klotterlav (NT)</w:t>
      </w:r>
      <w:r>
        <w:t xml:space="preserve"> växer på ved och bark av bok, men även andra lövträd, i skogar och bryn med hög luftfuktighet. Arten förekommer mest i fuktiga och skuggiga, slutna skogar, raviner och branter, oftast på mycket gamla, helt eller delvis döda träd med blottad ved. Den kan även finnas på lite öppnare lokaler men är bunden till skog och lövängar med lång kontinuitet. I Mellansverige växer den i gamla ädellövsskogar med hög luftfuktighet vid basen av lövträd. Arten växer ofta tillsammans med flera andra rödlistade lavar. På lokaler med arten får inte ljus- och fuktighetsförhållanden ändras eller den skogliga kontinuiteten brytas (SLU Artdatabanken, 2026).</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Stiftklotterlav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Sydlig sotticka (NT) </w:t>
      </w:r>
      <w:r>
        <w:t>påträffas i sydliga ädellövskogar på grova liggande lövvedsstammar och stubbar. Den växer främst på bok och alm, men även lind och björk. Arten hotas av brist på lämpliga kvalitéer av död ved. Ingrepp som innebär att lågor och döda eller skadade träd tas bort missgynnar arten. En slutavverkning, skoglig gallring eller annat uttag av virke på växtplatsen som ger ett förändrat lokalklimat innebär ett direkt hot. För att säkerställa artens fortlevnad bör man se till att artens växtplatser hålls intakta, att de inte omförs till barrskog och att ny död ved tillkommer, gärna i omedelbar anslutning. Befintliga vindfällen, döende träd, torrakor och lågor lämnas intakta. Ett långsiktigt tillförsäkrande om framtida tillgång till ved är en förutsättning för artens fortlevnad (SLU Artdatabanken, 2025).</w:t>
      </w:r>
    </w:p>
    <w:p>
      <w:r>
        <w:rPr>
          <w:b/>
        </w:rPr>
        <w:t>Violettgrå porlav (NT)</w:t>
      </w:r>
      <w:r>
        <w:t xml:space="preserve"> växer företrädesvis på stammar och grövre grenar av bok, men den förekommer även rätt ofta på tunna grenar av ek i hedekskog. Enstaka nutida fynd har även gjorts på klibbal, björk, hassel, avenbok, lind och rönn. Lokalerna utgörs oftast av gammal, sluten till halvöppen bokskog, men flera fynd är även gjorda i hedekskog. Kalavverkning utgör ett hot liksom ett stort inslag av gran i bokskogen. Åtminstone de rikligaste lokalerna bör skyddas (SLU Artdatabanken, 2026).</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Bokfjädermossa är typisk art för </w:t>
      </w:r>
      <w:r>
        <w:rPr>
          <w:i/>
        </w:rPr>
        <w:t xml:space="preserve">9020 Nordlig ädellövskog, 9110 Näringsfattig bokskog, 9130 Näringsrik bokskog, 9180 Ädellövskog i branter, 9160 Näringsrik ekskog </w:t>
      </w:r>
      <w:r>
        <w:t>och</w:t>
      </w:r>
      <w:r>
        <w:rPr>
          <w:i/>
        </w:rPr>
        <w:t xml:space="preserve"> 9190 Näringsfattig ekskog</w:t>
      </w:r>
      <w:r>
        <w:t xml:space="preserve">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