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1255-2023 i Hässleholms kommun</w:t>
      </w:r>
    </w:p>
    <w:p>
      <w:r>
        <w:t>Denna tillsynsbegäran behandlar höga naturvärden i samrådsanmälan S 1255-2023 i Hässleholms kommun som inkom 2023-04-12 och omfattar 11,3 ha.</w:t>
      </w:r>
    </w:p>
    <w:p>
      <w:pPr>
        <w:pStyle w:val="Caption"/>
      </w:pPr>
      <w:r>
        <w:drawing>
          <wp:inline xmlns:a="http://schemas.openxmlformats.org/drawingml/2006/main" xmlns:pic="http://schemas.openxmlformats.org/drawingml/2006/picture">
            <wp:extent cx="5486400" cy="4368381"/>
            <wp:docPr id="1" name="Picture 1"/>
            <wp:cNvGraphicFramePr>
              <a:graphicFrameLocks noChangeAspect="1"/>
            </wp:cNvGraphicFramePr>
            <a:graphic>
              <a:graphicData uri="http://schemas.openxmlformats.org/drawingml/2006/picture">
                <pic:pic>
                  <pic:nvPicPr>
                    <pic:cNvPr id="0" name="S 1255-2023 karta.png"/>
                    <pic:cNvPicPr/>
                  </pic:nvPicPr>
                  <pic:blipFill>
                    <a:blip r:embed="rId16"/>
                    <a:stretch>
                      <a:fillRect/>
                    </a:stretch>
                  </pic:blipFill>
                  <pic:spPr>
                    <a:xfrm>
                      <a:off x="0" y="0"/>
                      <a:ext cx="5486400" cy="4368381"/>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6224875, E 405486 i SWEREF 99 TM.</w:t>
      </w:r>
    </w:p>
    <w:p>
      <w:r>
        <w:t>Inom 25 meter från samrådsanmälan finns fynd av 4 naturvårdsarter, varav 2 är fridlysta, 1 är typisk (T) och 2 är signalarter (S): kambräken (S, T), västlig hakmossa (S),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