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19019-2024 i Hässleholms kommun</w:t>
      </w:r>
    </w:p>
    <w:p>
      <w:r>
        <w:t>Detta klagomål behandlar höga naturvärden i avverkningsanmälan A 19019-2024 i Hässleholms kommun som inkom 2024-05-15 och omfattar 5,4 ha.</w:t>
      </w:r>
    </w:p>
    <w:p>
      <w:pPr>
        <w:pStyle w:val="Caption"/>
      </w:pPr>
      <w:r>
        <w:drawing>
          <wp:inline xmlns:a="http://schemas.openxmlformats.org/drawingml/2006/main" xmlns:pic="http://schemas.openxmlformats.org/drawingml/2006/picture">
            <wp:extent cx="5486400" cy="4809555"/>
            <wp:docPr id="1" name="Picture 1"/>
            <wp:cNvGraphicFramePr>
              <a:graphicFrameLocks noChangeAspect="1"/>
            </wp:cNvGraphicFramePr>
            <a:graphic>
              <a:graphicData uri="http://schemas.openxmlformats.org/drawingml/2006/picture">
                <pic:pic>
                  <pic:nvPicPr>
                    <pic:cNvPr id="0" name="A 19019-2024 karta.png"/>
                    <pic:cNvPicPr/>
                  </pic:nvPicPr>
                  <pic:blipFill>
                    <a:blip r:embed="rId16"/>
                    <a:stretch>
                      <a:fillRect/>
                    </a:stretch>
                  </pic:blipFill>
                  <pic:spPr>
                    <a:xfrm>
                      <a:off x="0" y="0"/>
                      <a:ext cx="5486400" cy="480955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6232930, E 428633 i SWEREF 99 TM.</w:t>
      </w:r>
    </w:p>
    <w:p>
      <w:r>
        <w:t>I och inom 17 meter från avverkningsanmälan finns fynd av 8 naturvårdsarter, varav 1 är rödlistad, 7 är typiska (T) och 7 är signalarter (S): ädelkronlav (VU), fällmossa (S, T), guldlockmossa (S, T), gulnål (S, T), havstulpanlav (S, T), klippfrullania (S, T), kornig nållav (S, T)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Ädelkronlav (VU)</w:t>
      </w:r>
      <w:r>
        <w:t xml:space="preserve"> är en mycket sällsynt, suboceanisk art som förekommer i gamla och fuktiga ädellövskogar i halvöppna eller slutna miljöer, helst gammal bokskog. Många växtplatser är belägna i bergbranter, raviner eller bäckdalar och ofta nära vatten. Arten är placerad högst upp i Skogsstyrelsens värdepyramid för bedömning av skog med höga naturvärden och finns bara i områden med särskilt höga naturvärden. Arten försvinner eller missgynnas starkt vid all form av avverkning på eller i direkt anslutning till lokalerna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