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1598-2026 i Hässleholms kommun</w:t>
      </w:r>
    </w:p>
    <w:p>
      <w:r>
        <w:t>Denna tillsynsbegäran behandlar höga naturvärden i samrådsanmälan S 1598-2026 i Hässleholms kommun som inkom 2026-06-01 och omfattar 4,1 ha.</w:t>
      </w:r>
    </w:p>
    <w:p>
      <w:pPr>
        <w:pStyle w:val="Caption"/>
      </w:pPr>
      <w:r>
        <w:drawing>
          <wp:inline xmlns:a="http://schemas.openxmlformats.org/drawingml/2006/main" xmlns:pic="http://schemas.openxmlformats.org/drawingml/2006/picture">
            <wp:extent cx="5486400" cy="4750201"/>
            <wp:docPr id="1" name="Picture 1"/>
            <wp:cNvGraphicFramePr>
              <a:graphicFrameLocks noChangeAspect="1"/>
            </wp:cNvGraphicFramePr>
            <a:graphic>
              <a:graphicData uri="http://schemas.openxmlformats.org/drawingml/2006/picture">
                <pic:pic>
                  <pic:nvPicPr>
                    <pic:cNvPr id="0" name="S 1598-2026 karta.png"/>
                    <pic:cNvPicPr/>
                  </pic:nvPicPr>
                  <pic:blipFill>
                    <a:blip r:embed="rId16"/>
                    <a:stretch>
                      <a:fillRect/>
                    </a:stretch>
                  </pic:blipFill>
                  <pic:spPr>
                    <a:xfrm>
                      <a:off x="0" y="0"/>
                      <a:ext cx="5486400" cy="4750201"/>
                    </a:xfrm>
                    <a:prstGeom prst="rect"/>
                  </pic:spPr>
                </pic:pic>
              </a:graphicData>
            </a:graphic>
          </wp:inline>
        </w:drawing>
      </w:r>
    </w:p>
    <w:p>
      <w:pPr>
        <w:pStyle w:val="Caption"/>
        <w:spacing w:after="240"/>
      </w:pPr>
      <w:r>
        <w:t>Figur 1. Fyndplatser för naturvårdsarter inom 4 meter från samrådsanmälan. Markörer utan svart kant är placerade på fyndplatsen. Markörer med svart kant är placerade vid sidan av fyndplatsen och har ett svart streck som visar fyndplatsens exakta position. Kartans mittpunktskoordinat är N 6220646, E 423655 i SWEREF 99 TM.</w:t>
      </w:r>
    </w:p>
    <w:p>
      <w:r>
        <w:t>Inom 4 meter från samrådsanmälan finns fynd av 3 naturvårdsarter, varav 3 är typiska (T): hultbräken (T), missne (T) och rankstarr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Hultbräken </w:t>
      </w:r>
      <w:r>
        <w:t xml:space="preserve">är typisk art för </w:t>
      </w:r>
      <w:r>
        <w:rPr>
          <w:i/>
        </w:rPr>
        <w:t xml:space="preserve">9050 Näringsrik granskog </w:t>
      </w:r>
      <w:r>
        <w:t>(SLU Artdatabanken, 2025).</w:t>
      </w:r>
    </w:p>
    <w:p>
      <w:r>
        <w:rPr>
          <w:b/>
        </w:rPr>
        <w:t>Missne</w:t>
      </w:r>
      <w:r>
        <w:t xml:space="preserve"> är typisk art för </w:t>
      </w:r>
      <w:r>
        <w:rPr>
          <w:i/>
        </w:rPr>
        <w:t xml:space="preserve">9750 Svämlövskog, 9080 Lövsumpskog och 9760 Svämädellövskog </w:t>
      </w:r>
      <w:r>
        <w:t>(SLU Artdatabanken, 2025).</w:t>
      </w:r>
    </w:p>
    <w:p>
      <w:r>
        <w:rPr>
          <w:b/>
        </w:rPr>
        <w:t xml:space="preserve">Rankstarr </w:t>
      </w:r>
      <w:r>
        <w:t xml:space="preserve">är typisk art för </w:t>
      </w:r>
      <w:r>
        <w:rPr>
          <w:i/>
        </w:rPr>
        <w:t xml:space="preserve">9080 Lövsumpskog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