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2649-2026 i Hässleholms kommun</w:t>
      </w:r>
    </w:p>
    <w:p>
      <w:r>
        <w:t>Detta klagomål behandlar höga naturvärden i samrådsanmälan S 2649-2026 i Hässleholms kommun som inkom 2026-10-09 och omfattar 137,7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S 2649-2026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6215835, E 411773 i SWEREF 99 TM.</w:t>
      </w:r>
    </w:p>
    <w:p>
      <w:r>
        <w:t>I och inom 12 meter från samrådsanmälan finns fynd av 6 naturvårdsarter, varav 2 är rödlistade, 1 är fridlyst, 2 är typiska (T) och 3 är signalarter (S): revig blodrot (VU), svinrot (NT), brandticka (S), kransrams (S, T), skogsbräsma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Kransrams</w:t>
      </w:r>
      <w:r>
        <w:t xml:space="preserve"> är typisk art för </w:t>
      </w:r>
      <w:r>
        <w:rPr>
          <w:i/>
        </w:rPr>
        <w:t xml:space="preserve">9020 Nordlig ädellövskog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