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3159-2024 i Hässleholms kommun</w:t>
      </w:r>
    </w:p>
    <w:p>
      <w:r>
        <w:t>Detta klagomål behandlar höga naturvärden i samrådsanmälan S 3159-2024 i Hässleholms kommun som inkom 2024-08-19 och omfattar 2,2 ha.</w:t>
      </w:r>
    </w:p>
    <w:p>
      <w:pPr>
        <w:pStyle w:val="Caption"/>
      </w:pPr>
      <w:r>
        <w:drawing>
          <wp:inline xmlns:a="http://schemas.openxmlformats.org/drawingml/2006/main" xmlns:pic="http://schemas.openxmlformats.org/drawingml/2006/picture">
            <wp:extent cx="5486400" cy="4427461"/>
            <wp:docPr id="1" name="Picture 1"/>
            <wp:cNvGraphicFramePr>
              <a:graphicFrameLocks noChangeAspect="1"/>
            </wp:cNvGraphicFramePr>
            <a:graphic>
              <a:graphicData uri="http://schemas.openxmlformats.org/drawingml/2006/picture">
                <pic:pic>
                  <pic:nvPicPr>
                    <pic:cNvPr id="0" name="S 3159-2024 karta.png"/>
                    <pic:cNvPicPr/>
                  </pic:nvPicPr>
                  <pic:blipFill>
                    <a:blip r:embed="rId16"/>
                    <a:stretch>
                      <a:fillRect/>
                    </a:stretch>
                  </pic:blipFill>
                  <pic:spPr>
                    <a:xfrm>
                      <a:off x="0" y="0"/>
                      <a:ext cx="5486400" cy="4427461"/>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6205948, E 421161 i SWEREF 99 TM.</w:t>
      </w:r>
    </w:p>
    <w:p>
      <w:r>
        <w:t>I samrådsanmälan finns fynd av 6 naturvårdsarter, varav 2 är rödlistade, 2 är fridlysta, 6 är typiska (T) och 3 är signalarter (S): bokvårtlav (NT, T), mindre hackspett (NT, T, §4), klippfrullania (S, T), rostfläck (S, T), trubbfjädermossa (S, T)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Bokvårtlav (NT)</w:t>
      </w:r>
      <w:r>
        <w:t xml:space="preserve"> växer på barken av gamla bokar samt avenbok och är en bra signalart för skogsbestånd med höga naturvärden. Gamla bokskogar där laven förekommer i särskilt rikliga bestånd bör bevaras. Bokvårtlav är typisk art för </w:t>
      </w:r>
      <w:r>
        <w:rPr>
          <w:i/>
        </w:rPr>
        <w:t>9110 Näringsfattig bokskog, 9130 Näringsrik bokskog</w:t>
      </w:r>
      <w:r>
        <w:t xml:space="preserve"> och </w:t>
      </w:r>
      <w:r>
        <w:rPr>
          <w:i/>
        </w:rPr>
        <w:t>9160 Näringsrik ekskog</w:t>
      </w:r>
      <w:r>
        <w:t xml:space="preserve"> (SLU Artdatabanken, 2024; Nitare &amp; Skogsstyrelsen, 2019).</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Klippfrullania</w:t>
      </w:r>
      <w:r>
        <w:t xml:space="preserve"> är i centrala, östra och norra Sverige en bra signalart. Den påträffas där i skyddsvärda skogsmiljöer med lång kontinuitet av gamla träd i halvöppen terräng, samt trädklädda bergbranter med ett mikroklimat som har konstant hög och jämn luftfuktighet året om. Klippfrullania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r>
        <w:rPr>
          <w:b/>
        </w:rPr>
        <w:t>Trubbfjädermossa</w:t>
      </w:r>
      <w:r>
        <w:t xml:space="preserve"> signalerar vanligtvis skog med höga naturvärden och den växer på något skuggade block eller trädbaser, oftast nära marken, eller på jord intill vattendrag. Den trivs bäst i ädellövskog och förekommer ofta tillsammans med baronmossor </w:t>
      </w:r>
      <w:r>
        <w:rPr>
          <w:i/>
        </w:rPr>
        <w:t>Anomodon</w:t>
      </w:r>
      <w:r>
        <w:t xml:space="preserve"> och fjädermossor</w:t>
      </w:r>
      <w:r>
        <w:rPr>
          <w:i/>
        </w:rPr>
        <w:t xml:space="preserve"> Neckera</w:t>
      </w:r>
      <w:r>
        <w:t xml:space="preserve">. Trubbfjädermossa är typisk art för </w:t>
      </w:r>
      <w:r>
        <w:rPr>
          <w:i/>
        </w:rPr>
        <w:t>9020 Nordlig ädellövskog,</w:t>
      </w:r>
      <w:r>
        <w:t xml:space="preserve"> </w:t>
      </w:r>
      <w:r>
        <w:rPr>
          <w:i/>
        </w:rPr>
        <w:t xml:space="preserve">9080 Lövsumpskog, 9750 Svämlövskog, 9110 Näringsfattig bokskog, 9130 Näringsrik bokskog </w:t>
      </w:r>
      <w:r>
        <w:t xml:space="preserve">och </w:t>
      </w:r>
      <w:r>
        <w:rPr>
          <w:i/>
        </w:rPr>
        <w:t xml:space="preserve">9760 Svämädellövskog </w:t>
      </w:r>
      <w:r>
        <w:t>(Nitare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