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30552-2026 i Hässleholms kommun</w:t>
      </w:r>
    </w:p>
    <w:p>
      <w:r>
        <w:t>Detta klagomål behandlar höga naturvärden i avverkningsanmälan A 30552-2026 i Hässleholms kommun som inkom 2026-07-07 och omfattar 5,6 ha.</w:t>
      </w:r>
    </w:p>
    <w:p>
      <w:pPr>
        <w:pStyle w:val="Caption"/>
      </w:pPr>
      <w:r>
        <w:drawing>
          <wp:inline xmlns:a="http://schemas.openxmlformats.org/drawingml/2006/main" xmlns:pic="http://schemas.openxmlformats.org/drawingml/2006/picture">
            <wp:extent cx="5041447" cy="5724000"/>
            <wp:docPr id="1" name="Picture 1"/>
            <wp:cNvGraphicFramePr>
              <a:graphicFrameLocks noChangeAspect="1"/>
            </wp:cNvGraphicFramePr>
            <a:graphic>
              <a:graphicData uri="http://schemas.openxmlformats.org/drawingml/2006/picture">
                <pic:pic>
                  <pic:nvPicPr>
                    <pic:cNvPr id="0" name="A 30552-2026 karta.png"/>
                    <pic:cNvPicPr/>
                  </pic:nvPicPr>
                  <pic:blipFill>
                    <a:blip r:embed="rId16"/>
                    <a:stretch>
                      <a:fillRect/>
                    </a:stretch>
                  </pic:blipFill>
                  <pic:spPr>
                    <a:xfrm>
                      <a:off x="0" y="0"/>
                      <a:ext cx="5041447"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6214382, E 431193 i SWEREF 99 TM.</w:t>
      </w:r>
    </w:p>
    <w:p>
      <w:r>
        <w:t>I och inom 24 meter från avverkningsanmälan finns fynd av 7 naturvårdsarter, varav 6 är typiska (T) och 1 är signalart (S): grå skärelav (S), ekbräken (T), glansfläck (T), hultbräken (T), kärrfibbla (T), majbräken (T) och skärmstarr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Grå skärelav är typisk art för </w:t>
      </w:r>
      <w:r>
        <w:rPr>
          <w:i/>
        </w:rPr>
        <w:t>9070 Trädklädd betesmark</w:t>
      </w:r>
      <w:r>
        <w:t xml:space="preserve"> och </w:t>
      </w:r>
      <w:r>
        <w:rPr>
          <w:i/>
        </w:rPr>
        <w:t>6530 Lövängar</w:t>
      </w:r>
      <w:r>
        <w:t xml:space="preserve"> (SLU Artdatabanken, 2024; Nitare &amp; Skogsstyrelsen, 2019).</w:t>
      </w:r>
    </w:p>
    <w:p>
      <w:r>
        <w:rPr>
          <w:b/>
        </w:rPr>
        <w:t xml:space="preserve">Ekbräken </w:t>
      </w:r>
      <w:r>
        <w:t xml:space="preserve">är typisk art för </w:t>
      </w:r>
      <w:r>
        <w:rPr>
          <w:i/>
        </w:rPr>
        <w:t>9050 Näringsrik granskog</w:t>
      </w:r>
      <w:r>
        <w:t xml:space="preserve"> (SLU Artdatabanken, 2025).</w:t>
      </w:r>
    </w:p>
    <w:p>
      <w:r>
        <w:rPr>
          <w:b/>
        </w:rPr>
        <w:t>Glansfläck</w:t>
      </w:r>
      <w:r>
        <w:t xml:space="preserve"> signalerar skyddsvärda lövträdsbestånd som ofta hyser ett flertal rödlistade lavar. Många växtplatser har långvarig trädkontinuitet. Laven indikerar främst miljöer med konstant hög och jämn luftfuktighet och ostörda markvattenförhållanden. Glansfläck är typisk art för </w:t>
      </w:r>
      <w:r>
        <w:rPr>
          <w:i/>
        </w:rPr>
        <w:t>9190 Näringsfattig ekskog</w:t>
      </w:r>
      <w:r>
        <w:t xml:space="preserve"> (Nitare &amp; Skogsstyrelsen, 2000; SLU Artdatabanken, 2025).</w:t>
      </w:r>
    </w:p>
    <w:p>
      <w:r>
        <w:rPr>
          <w:b/>
        </w:rPr>
        <w:t xml:space="preserve">Hultbräken </w:t>
      </w:r>
      <w:r>
        <w:t xml:space="preserve">är typisk art för </w:t>
      </w:r>
      <w:r>
        <w:rPr>
          <w:i/>
        </w:rPr>
        <w:t xml:space="preserve">9050 Näringsrik granskog </w:t>
      </w:r>
      <w:r>
        <w:t>(SLU Artdatabanken, 2025).</w:t>
      </w:r>
    </w:p>
    <w:p>
      <w:r>
        <w:rPr>
          <w:b/>
        </w:rPr>
        <w:t>Kärrfibbla</w:t>
      </w:r>
      <w:r>
        <w:t xml:space="preserve"> är typisk art för </w:t>
      </w:r>
      <w:r>
        <w:rPr>
          <w:i/>
        </w:rPr>
        <w:t xml:space="preserve">9050 Näringsrik granskog, 9080 Lövsumpskog </w:t>
      </w:r>
      <w:r>
        <w:t>och</w:t>
      </w:r>
      <w:r>
        <w:rPr>
          <w:i/>
        </w:rPr>
        <w:t xml:space="preserve"> 9040 Fjällbjörkskog </w:t>
      </w:r>
      <w:r>
        <w:t>(SLU Artdatabanken, 2025).</w:t>
      </w:r>
    </w:p>
    <w:p>
      <w:r>
        <w:rPr>
          <w:b/>
        </w:rPr>
        <w:t xml:space="preserve">Majbräken </w:t>
      </w:r>
      <w:r>
        <w:t xml:space="preserve">är typisk art för </w:t>
      </w:r>
      <w:r>
        <w:rPr>
          <w:i/>
        </w:rPr>
        <w:t xml:space="preserve">9050 Näringsrik granskog </w:t>
      </w:r>
      <w:r>
        <w:t>och</w:t>
      </w:r>
      <w:r>
        <w:rPr>
          <w:i/>
        </w:rPr>
        <w:t xml:space="preserve"> 9750 Svämlövskog </w:t>
      </w:r>
      <w:r>
        <w:t>(SLU Artdatabanken, 2025).</w:t>
      </w:r>
    </w:p>
    <w:p>
      <w:r>
        <w:rPr>
          <w:b/>
        </w:rPr>
        <w:t xml:space="preserve">Skärmstarr </w:t>
      </w:r>
      <w:r>
        <w:t xml:space="preserve">är typisk art för </w:t>
      </w:r>
      <w:r>
        <w:rPr>
          <w:i/>
        </w:rPr>
        <w:t xml:space="preserve">9080 Lövsumpskog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