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55796-2021 i Hässleholms kommun</w:t>
      </w:r>
    </w:p>
    <w:p>
      <w:r>
        <w:t>Detta dokument behandlar höga naturvärden i avverkningsanmälan A 55796-2021 i Hässleholms kommun. Denna avverkningsanmälan inkom 2021-10-07 00:00:00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vedlavklubba (VU), bokvårtlav (NT), barkkornlav (S), bokfjädermossa (S), fällmossa (S), havstulpanlav (S), hässleklocka (S), klippfrullania (S) och rostfläck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55796-2021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6237901, E 430619 i SWEREF 99 TM.</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(SLU Artdatabanken, 2024).</w:t>
      </w:r>
    </w:p>
    <w:p>
      <w:r>
        <w:rPr>
          <w:b/>
        </w:rPr>
        <w:t>Bokvårtlav (NT)</w:t>
      </w:r>
      <w:r>
        <w:t xml:space="preserve"> växer på barken av gamla bokar samt avenbok och är en bra signalart för skogsbestånd med höga naturvärden. Gamla bokskogar där laven förekommer i särskilt rikliga bestånd bör bevaras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