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1930-2024 i Hässleholms kommun</w:t>
      </w:r>
    </w:p>
    <w:p>
      <w:r>
        <w:t>Denna tillsynsbegäran behandlar höga naturvärden i samrådsanmälan S 1930-2024 i Hässleholms kommun som inkom 2024-05-31 och omfattar 26,9 ha.</w:t>
      </w:r>
    </w:p>
    <w:p>
      <w:pPr>
        <w:pStyle w:val="Caption"/>
      </w:pPr>
      <w:r>
        <w:drawing>
          <wp:inline xmlns:a="http://schemas.openxmlformats.org/drawingml/2006/main" xmlns:pic="http://schemas.openxmlformats.org/drawingml/2006/picture">
            <wp:extent cx="5486400" cy="5569356"/>
            <wp:docPr id="1" name="Picture 1"/>
            <wp:cNvGraphicFramePr>
              <a:graphicFrameLocks noChangeAspect="1"/>
            </wp:cNvGraphicFramePr>
            <a:graphic>
              <a:graphicData uri="http://schemas.openxmlformats.org/drawingml/2006/picture">
                <pic:pic>
                  <pic:nvPicPr>
                    <pic:cNvPr id="0" name="S 1930-2024 karta.png"/>
                    <pic:cNvPicPr/>
                  </pic:nvPicPr>
                  <pic:blipFill>
                    <a:blip r:embed="rId16"/>
                    <a:stretch>
                      <a:fillRect/>
                    </a:stretch>
                  </pic:blipFill>
                  <pic:spPr>
                    <a:xfrm>
                      <a:off x="0" y="0"/>
                      <a:ext cx="5486400" cy="5569356"/>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6233463, E 428360 i SWEREF 99 TM.</w:t>
      </w:r>
    </w:p>
    <w:p>
      <w:r>
        <w:t>I och inom 23 meter från samrådsanmälan finns fynd av 10 naturvårdsarter, varav 5 är rödlistade, 7 är typiska (T) och 5 är signalarter (S): ädelkronlav (VU), bokvårtlav (NT, T), stiftklotterlav (NT, T), sydlig sotticka (NT), violettgrå porlav (NT), fällmossa (S, T), havstulpanlav (S, T), klippfrullania (S, T), kornig nållav (S, T) och platt fjädermossa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Ädelkronlav (VU)</w:t>
      </w:r>
      <w:r>
        <w:t xml:space="preserve"> är en mycket sällsynt, suboceanisk art som förekommer i gamla och fuktiga ädellövskogar i halvöppna eller slutna miljöer, helst gammal bokskog. Många växtplatser är belägna i bergbranter, raviner eller bäckdalar och ofta nära vatten. Arten är placerad högst upp i Skogsstyrelsens värdepyramid för bedömning av skog med höga naturvärden och finns bara i områden med särskilt höga naturvärden. Arten försvinner eller missgynnas starkt vid all form av avverkning på eller i direkt anslutning till lokalerna (Nitare &amp; Skogsstyrelsen, 2019).</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Stiftklotterlav (NT)</w:t>
      </w:r>
      <w:r>
        <w:t xml:space="preserve"> är en mycket bra signalart som alltid signalerar skogsområden med höga naturvärden. Den föredrar skog med långvarig kontinuitet av gamla lövträd och permanent hög och jämn luftfuktighet. Arten missgynnas vid avverkning på eller i direkt anslutning till lokalerna. Naturskogsartade ädellövskogsbestånd med rika populationer av laven bör skyddas. Stiftklotterlav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Sydlig sotticka (NT) </w:t>
      </w:r>
      <w:r>
        <w:t>påträffas i sydliga ädellövskogar på grova liggande lövvedsstammar och stubbar. Den växer främst på bok och alm, men även lind och björk. Arten hotas av brist på lämpliga kvalitéer av död ved. Ingrepp som innebär att lågor och döda eller skadade träd tas bort missgynnar arten. En slutavverkning, skoglig gallring eller annat uttag av virke på växtplatsen som ger ett förändrat lokalklimat innebär ett direkt hot. För att säkerställa artens fortlevnad bör man se till att artens växtplatser hålls intakta, att de inte omförs till barrskog och att ny död ved tillkommer, gärna i omedelbar anslutning. Befintliga vindfällen, döende träd, torrakor och lågor lämnas intakta. Ett långsiktigt tillförsäkrande om framtida tillgång till ved är en förutsättning för artens fortlevnad (SLU Artdatabanken, 2025).</w:t>
      </w:r>
    </w:p>
    <w:p>
      <w:r>
        <w:rPr>
          <w:b/>
        </w:rPr>
        <w:t>Violettgrå porlav (NT)</w:t>
      </w:r>
      <w:r>
        <w:t xml:space="preserve"> växer företrädesvis på stammar och grövre grenar av bok, men den förekommer även rätt ofta på tunna grenar av ek i hedekskog. Enstaka nutida fynd har även gjorts på klibbal, björk, hassel, avenbok, lind och rönn. Lokalerna utgörs oftast av gammal, sluten till halvöppen bokskog, men flera fynd är även gjorda i hedekskog. Kalavverkning utgör ett hot liksom ett stort inslag av gran i bokskogen. Åtminstone de rikligaste lokalerna bör skyddas (SLU Artdatabanken, 2026).</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bokvårtlav (NT, T), stiftklotterlav (NT, T), fällmossa (S, T), havstulpanlav (S, T), klippfrullania (S, T), kornig nållav (S, T) och platt fjädermossa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