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samrådsanmälan S 3277-2023 i Hässleholms kommun</w:t>
      </w:r>
    </w:p>
    <w:p>
      <w:r>
        <w:t>Denna tillsynsbegäran behandlar höga naturvärden i samrådsanmälan S 3277-2023 i Hässleholms kommun som inkom 2023-09-25 och omfattar 100,6 ha.</w:t>
      </w:r>
    </w:p>
    <w:p>
      <w:pPr>
        <w:pStyle w:val="Caption"/>
      </w:pPr>
      <w:r>
        <w:drawing>
          <wp:inline xmlns:a="http://schemas.openxmlformats.org/drawingml/2006/main" xmlns:pic="http://schemas.openxmlformats.org/drawingml/2006/picture">
            <wp:extent cx="5486400" cy="4915136"/>
            <wp:docPr id="1" name="Picture 1"/>
            <wp:cNvGraphicFramePr>
              <a:graphicFrameLocks noChangeAspect="1"/>
            </wp:cNvGraphicFramePr>
            <a:graphic>
              <a:graphicData uri="http://schemas.openxmlformats.org/drawingml/2006/picture">
                <pic:pic>
                  <pic:nvPicPr>
                    <pic:cNvPr id="0" name="S 3277-2023 karta.png"/>
                    <pic:cNvPicPr/>
                  </pic:nvPicPr>
                  <pic:blipFill>
                    <a:blip r:embed="rId16"/>
                    <a:stretch>
                      <a:fillRect/>
                    </a:stretch>
                  </pic:blipFill>
                  <pic:spPr>
                    <a:xfrm>
                      <a:off x="0" y="0"/>
                      <a:ext cx="5486400" cy="4915136"/>
                    </a:xfrm>
                    <a:prstGeom prst="rect"/>
                  </pic:spPr>
                </pic:pic>
              </a:graphicData>
            </a:graphic>
          </wp:inline>
        </w:drawing>
      </w:r>
    </w:p>
    <w:p>
      <w:pPr>
        <w:pStyle w:val="Caption"/>
        <w:spacing w:after="240"/>
      </w:pPr>
      <w:r>
        <w:t>Figur 1. Fyndplatser för naturvårdsarter i och inom 21 meter från samrådsanmälan. Markörer utan svart kant är placerade på fyndplatsen. Markörer med svart kant är placerade vid sidan av fyndplatsen och har ett svart streck som visar fyndplatsens exakta position. Kartans mittpunktskoordinat är N 6216067, E 428064 i SWEREF 99 TM.</w:t>
      </w:r>
    </w:p>
    <w:p>
      <w:r>
        <w:t>I och inom 21 meter från samrådsanmälan finns fynd av 2 naturvårdsarter, varav 1 är typisk (T) och 2 är signalarter (S): fjällsopp (S) och klippfrullania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Klippfrullania</w:t>
      </w:r>
      <w:r>
        <w:t xml:space="preserve"> är i centrala, östra och norra Sverige en bra signalart. Den påträffas där i skyddsvärda skogsmiljöer med lång kontinuitet av gamla träd i halvöppen terräng, samt trädklädda bergbranter med ett mikroklimat som har konstant hög och jämn luftfuktighet året om. Klippfrullania är typisk art för </w:t>
      </w:r>
      <w:r>
        <w:rPr>
          <w:i/>
        </w:rPr>
        <w:t xml:space="preserve">9020 Nordlig ädellövskog, 9110 Näringsfattig bokskog, 9130 Näringsrik bokskog, 9160 Näringsrik ekskog, 9180 Ädellövskog i branter </w:t>
      </w:r>
      <w:r>
        <w:t xml:space="preserve">och </w:t>
      </w:r>
      <w:r>
        <w:rPr>
          <w:i/>
        </w:rPr>
        <w:t xml:space="preserve">9190 Näringsfattig ekskog </w:t>
      </w:r>
      <w:r>
        <w:t>(Nitare &amp; Skogsstyrelsen, 2019;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