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45099-2026 i Hässleholms kommun</w:t>
      </w:r>
    </w:p>
    <w:p>
      <w:r>
        <w:t>Detta klagomål behandlar höga naturvärden i avverkningsanmälan A 45099-2026 i Hässleholms kommun som inkom 2026-10-29 och omfattar 7,2 ha.</w:t>
      </w:r>
    </w:p>
    <w:p>
      <w:pPr>
        <w:pStyle w:val="Caption"/>
      </w:pPr>
      <w:r>
        <w:drawing>
          <wp:inline xmlns:a="http://schemas.openxmlformats.org/drawingml/2006/main" xmlns:pic="http://schemas.openxmlformats.org/drawingml/2006/picture">
            <wp:extent cx="5486400" cy="5318603"/>
            <wp:docPr id="1" name="Picture 1"/>
            <wp:cNvGraphicFramePr>
              <a:graphicFrameLocks noChangeAspect="1"/>
            </wp:cNvGraphicFramePr>
            <a:graphic>
              <a:graphicData uri="http://schemas.openxmlformats.org/drawingml/2006/picture">
                <pic:pic>
                  <pic:nvPicPr>
                    <pic:cNvPr id="0" name="A 45099-2026 karta.png"/>
                    <pic:cNvPicPr/>
                  </pic:nvPicPr>
                  <pic:blipFill>
                    <a:blip r:embed="rId16"/>
                    <a:stretch>
                      <a:fillRect/>
                    </a:stretch>
                  </pic:blipFill>
                  <pic:spPr>
                    <a:xfrm>
                      <a:off x="0" y="0"/>
                      <a:ext cx="5486400" cy="531860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6237573, E 422763 i SWEREF 99 TM.</w:t>
      </w:r>
    </w:p>
    <w:p>
      <w:r>
        <w:t>I avverkningsanmälan finns fynd av 2 naturvårdsarter, varav 1 är typisk (T) och 2 är signalarter (S): klippfrullania (S, T) och västlig hakmossa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Klippfrullania</w:t>
      </w:r>
      <w:r>
        <w:t xml:space="preserve"> är i centrala, östra och norra Sverige en bra signalart. Den påträffas där i skyddsvärda skogsmiljöer med lång kontinuitet av gamla träd i halvöppen terräng, samt trädklädda bergbranter med ett mikroklimat som har konstant hög och jämn luftfuktighet året om. Klippfrullania är typisk art för </w:t>
      </w:r>
      <w:r>
        <w:rPr>
          <w:i/>
        </w:rPr>
        <w:t xml:space="preserve">9020 Nordlig ädellövskog, 9110 Näringsfattig bokskog, 9130 Näringsrik bokskog, 9160 Näringsrik ekskog, 9180 Ädellövskog i branter </w:t>
      </w:r>
      <w:r>
        <w:t xml:space="preserve">och </w:t>
      </w:r>
      <w:r>
        <w:rPr>
          <w:i/>
        </w:rPr>
        <w:t xml:space="preserve">9190 Näringsfattig ekskog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