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18969-2024 i Hässleholms kommun</w:t>
      </w:r>
    </w:p>
    <w:p>
      <w:r>
        <w:t>Detta dokument behandlar höga naturvärden i avverkningsanmälan A 18969-2024 i Hässleholms kommun. Denna avverkningsanmälan inkom 2024-05-15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vedlavklubba (VU), ädelkronlav (VU), violettgrå porlav (NT), gulnål (S), havstulpanlav (S), kornig nållav (S) och vanlig snok (§6).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18969-2024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6233975, E 427452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Vedlavklubba (VU)</w:t>
      </w:r>
      <w:r>
        <w:t xml:space="preserve"> är en sällsynt art som växer på lågor av lövträd, helst asp och bok. Den förekommer huvudsakligen i skogsmiljöer med rik tillgång på grov död och ved, oftast i skogar med hög luftfuktighet som inte har kalavverkats. Svampen är sannolikt mycket känslig för all form av avverkning eller dränering som medför att växtplatsen får ett torrare mikroklimat (SLU Artdatabanken, 2024; Nitare &amp; Skogsstyrelsen, 2019).</w:t>
      </w:r>
    </w:p>
    <w:p>
      <w:r>
        <w:rPr>
          <w:b/>
        </w:rPr>
        <w:t>Ädelkronlav (VU)</w:t>
      </w:r>
      <w:r>
        <w:t xml:space="preserve"> är en mycket sällsynt, suboceanisk art som förekommer i gamla och fuktiga ädellövskogar i halvöppna eller slutna miljöer, helst gammal bokskog. Många växtplatser är belägna i bergbranter, raviner eller bäckdalar och ofta nära vatten. Arten är placerad högst upp i Skogsstyrelsens värdepyramid för bedömning av skog med höga naturvärden och finns bara i områden med särskilt höga naturvärden. Arten försvinner eller missgynnas starkt vid all form av avverkning på eller i direkt anslutning till lokalerna (Nitare &amp; Skogsstyrelsen, 2019).</w:t>
      </w:r>
    </w:p>
    <w:p>
      <w:pPr>
        <w:pStyle w:val="Heading1"/>
      </w:pPr>
      <w:r>
        <w:t>Fridlysta arter</w:t>
      </w:r>
    </w:p>
    <w:p>
      <w:r>
        <w:t>Följande fridlysta arter har sina livsmiljöer och växtplatser i den avverkningsanmälda skogen: vanlig snok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