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18987-2024 i Hässleholms kommun</w:t>
      </w:r>
    </w:p>
    <w:p>
      <w:r>
        <w:t>Detta dokument behandlar höga naturvärden i avverkningsanmälan A 18987-2024 i Hässleholms kommun. Denna avverkningsanmälan inkom 2024-05-15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ask (EN), vedlavklubba (VU), ädelkronlav (VU), bokkantlav (NT), bokvårtlav (NT), koralltaggsvamp (NT), liten lundlav (NT), orangepudrad klotterlav (NT), spillkråka (NT, §4), sydlig sotticka (NT), violettgrå porlav (NT), barkkornlav (S), bokfjädermossa (S), fällmossa (S), grov fjädermossa (S), guldlockmossa (S), gulnål (S), havstulpanlav (S), klippfrullania (S), kornig nållav (S), lönnlav (S), platt fjädermossa (S), rostfläck (S) och västlig hakmossa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8987-2024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6233673, E 427728 i SWEREF 99 TM.</w:t>
      </w:r>
    </w:p>
    <w:p>
      <w:r>
        <w:rPr>
          <w:b/>
        </w:rPr>
        <w:t>Bokfjädermossa</w:t>
      </w:r>
      <w:r>
        <w:t xml:space="preserve"> växer främst i sluten bokskog på grova bokstammar. Arten är placerad högst upp i Skogsstyrelsens värdepyramid för bedömning av skog med höga naturvärden och signalerar överallt skogsmiljöer med höga naturvärden. Samtliga aktuella lokaler bör skyddas mot avverkning (SLU Artdatabanken, 2024).</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