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18969-2024 i Hässleholms kommun</w:t>
      </w:r>
    </w:p>
    <w:p>
      <w:r>
        <w:t>Detta klagomål behandlar höga naturvärden i avverkningsanmälan A 18969-2024 i Hässleholms kommun som inkom 2024-05-15 och omfattar 3,2 ha.</w:t>
      </w:r>
    </w:p>
    <w:p>
      <w:pPr>
        <w:pStyle w:val="Caption"/>
      </w:pPr>
      <w:r>
        <w:drawing>
          <wp:inline xmlns:a="http://schemas.openxmlformats.org/drawingml/2006/main" xmlns:pic="http://schemas.openxmlformats.org/drawingml/2006/picture">
            <wp:extent cx="5261162" cy="5724000"/>
            <wp:docPr id="1" name="Picture 1"/>
            <wp:cNvGraphicFramePr>
              <a:graphicFrameLocks noChangeAspect="1"/>
            </wp:cNvGraphicFramePr>
            <a:graphic>
              <a:graphicData uri="http://schemas.openxmlformats.org/drawingml/2006/picture">
                <pic:pic>
                  <pic:nvPicPr>
                    <pic:cNvPr id="0" name="A 18969-2024 karta.png"/>
                    <pic:cNvPicPr/>
                  </pic:nvPicPr>
                  <pic:blipFill>
                    <a:blip r:embed="rId16"/>
                    <a:stretch>
                      <a:fillRect/>
                    </a:stretch>
                  </pic:blipFill>
                  <pic:spPr>
                    <a:xfrm>
                      <a:off x="0" y="0"/>
                      <a:ext cx="526116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6233975, E 427452 i SWEREF 99 TM.</w:t>
      </w:r>
    </w:p>
    <w:p>
      <w:r>
        <w:t>I och inom 25 meter från avverkningsanmälan finns fynd av 11 naturvårdsarter, varav 5 är rödlistade, 1 är fridlyst, 6 är typiska (T) och 5 är signalarter (S): vedlavklubba (VU), ädelkronlav (VU), gullpudra (NT, T), puderfläck (NT), violettgrå porlav (NT), gulnål (S, T), havstulpanlav (S, T), klippfrullania (S, T), kornig nållav (S, T), platt fjädermossa (S, 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