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24907-2026 i Hässleholms kommun</w:t>
      </w:r>
    </w:p>
    <w:p>
      <w:r>
        <w:t>Denna tillsynsbegäran behandlar höga naturvärden i avverkningsanmälan A 24907-2026 i Hässleholms kommun som inkom 2026-06-01 och omfattar 36,1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24907-2026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6220941, E 423946 i SWEREF 99 TM.</w:t>
      </w:r>
    </w:p>
    <w:p>
      <w:r>
        <w:t>I och inom 24 meter från avverkningsanmälan finns fynd av 13 naturvårdsarter, varav 3 är rödlistade, 3 är fridlysta, 9 är typiska (T) och 2 är signalarter (S): småvänderot (VU), entita (NT, T, §4), grönsångare (NT, §4), murgröna (S, T), västlig hakmossa (S), bäckbräsma (T), glansfläck (T), hultbräken (T), missne (T), rankstarr (T), skriftlav (T), skärmstarr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Rankstarr </w:t>
      </w:r>
      <w:r>
        <w:t xml:space="preserve">är typisk art för </w:t>
      </w:r>
      <w:r>
        <w:rPr>
          <w:i/>
        </w:rPr>
        <w:t xml:space="preserve">9080 Lövsumpskog </w:t>
      </w:r>
      <w:r>
        <w:t>(SLU Artdatabanken, 2025).</w:t>
      </w:r>
    </w:p>
    <w:p>
      <w:r>
        <w:rPr>
          <w:b/>
        </w:rPr>
        <w:t>Skriftlav</w:t>
      </w:r>
      <w:r>
        <w:t xml:space="preserve"> är typisk art för </w:t>
      </w:r>
      <w:r>
        <w:rPr>
          <w:i/>
        </w:rPr>
        <w:t xml:space="preserve">9190 Näringsfattig ekskog </w:t>
      </w:r>
      <w:r>
        <w:t>(SLU Artdatabanken, 2025).</w:t>
      </w:r>
    </w:p>
    <w:p>
      <w:r>
        <w:rPr>
          <w:b/>
        </w:rPr>
        <w:t xml:space="preserve">Skärmstarr </w:t>
      </w:r>
      <w:r>
        <w:t xml:space="preserve">är typisk art för </w:t>
      </w:r>
      <w:r>
        <w:rPr>
          <w:i/>
        </w:rPr>
        <w:t xml:space="preserve">9080 Lövsumpskog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murgröna (S, T), bäckbräsma (T), glansfläck (T), hultbräken (T), missne (T), rankstarr (T), skriftlav (T) och skärmstarr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