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18989-2024 i Hässleholms kommun</w:t>
      </w:r>
    </w:p>
    <w:p>
      <w:r>
        <w:t>Detta dokument behandlar höga naturvärden i avverkningsanmälan A 18989-2024 i Hässleholms kommun. Denna avverkningsanmälan inkom 2024-05-15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röd pysslinglav (VU), ädelkronlav (VU), bokkantlav (NT), bokvårtlav (NT), grönsångare (NT, §4), orangepudrad klotterlav (NT), spillkråka (NT, §4), stiftklotterlav (NT), sydlig sotticka (NT), violettgrå porlav (NT), barkkornlav (S), blanksvart trämyra (S), bokfjädermossa (S), fällmossa (S), grov fjädermossa (S), guldlockmossa (S), gulnål (S), havstulpanlav (S), klippfrullania (S), kornig nållav (S), lönnlav (S), platt fjädermossa (S), rikfruktig blemlav (S), trädporella (S) och västlig hakmossa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6233234, E 428232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Röd pysslinglav (VU)</w:t>
      </w:r>
      <w:r>
        <w:t xml:space="preserve"> förekommer huvudsakligen på mycket gamla bokar i skogar med lång trädkontinuitet och hög luftfuktighet, men fynd finns även på bl.a. ek och lind. I Härjedalen växer den på en rönn. Värdträdens bark är tämligen grov och skrovlig. Lokalerna ligger alla i mycket skyddsvärda skogar med lång trädkontinuitet, hög luftfuktighet och med många andra rödlistade lavar. Denna typ av skogar nyskapas i princip inte alls. Bevara gammal bokskog och även skog som idag inte har kontinuitet men på lång sikt kommer att få det (SLU Artdatabanken, 2026).</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