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3159-2024 i Hässleholms kommun</w:t>
      </w:r>
    </w:p>
    <w:p>
      <w:r>
        <w:t>Denna tillsynsbegäran behandlar höga naturvärden i samrådsanmälan S 3159-2024 i Hässleholms kommun som inkom 2024-08-19 och omfattar 2,2 ha.</w:t>
      </w:r>
    </w:p>
    <w:p>
      <w:pPr>
        <w:pStyle w:val="Caption"/>
      </w:pPr>
      <w:r>
        <w:drawing>
          <wp:inline xmlns:a="http://schemas.openxmlformats.org/drawingml/2006/main" xmlns:pic="http://schemas.openxmlformats.org/drawingml/2006/picture">
            <wp:extent cx="5486400" cy="4427461"/>
            <wp:docPr id="1" name="Picture 1"/>
            <wp:cNvGraphicFramePr>
              <a:graphicFrameLocks noChangeAspect="1"/>
            </wp:cNvGraphicFramePr>
            <a:graphic>
              <a:graphicData uri="http://schemas.openxmlformats.org/drawingml/2006/picture">
                <pic:pic>
                  <pic:nvPicPr>
                    <pic:cNvPr id="0" name="S 3159-2024 karta.png"/>
                    <pic:cNvPicPr/>
                  </pic:nvPicPr>
                  <pic:blipFill>
                    <a:blip r:embed="rId16"/>
                    <a:stretch>
                      <a:fillRect/>
                    </a:stretch>
                  </pic:blipFill>
                  <pic:spPr>
                    <a:xfrm>
                      <a:off x="0" y="0"/>
                      <a:ext cx="5486400" cy="442746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6205948, E 421161 i SWEREF 99 TM.</w:t>
      </w:r>
    </w:p>
    <w:p>
      <w:r>
        <w:t>I samrådsanmälan finns fynd av 6 naturvårdsarter, varav 2 är rödlistade, 2 är fridlysta, 6 är typiska (T) och 3 är signalarter (S): bokvårtlav (NT, T), mindre hackspett (NT, T, §4), klippfrullania (S, T), rostfläck (S, T), trubbfjädermossa (S, T) och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Klippfrullania</w:t>
      </w:r>
      <w:r>
        <w:t xml:space="preserve"> är i centrala, östra och norra Sverige en bra signalart. Den påträffas där i skyddsvärda skogsmiljöer med lång kontinuitet av gamla träd i halvöppen terräng, samt trädklädda bergbranter med ett mikroklimat som har konstant hög och jämn luftfuktighet året om. Klippfrullania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bokvårtlav (NT, T), mindre hackspett (NT, T, §4), klippfrullania (S, T), rostfläck (S, T), trubbfjädermossa (S, T) och blåsippa (T, §9).</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