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1103-2023 i Hässleholms kommun</w:t>
      </w:r>
    </w:p>
    <w:p>
      <w:r>
        <w:t>Detta klagomål behandlar höga naturvärden i samrådsanmälan S 1103-2023 i Hässleholms kommun som inkom 2023-03-29 och omfattar 27,4 ha.</w:t>
      </w:r>
    </w:p>
    <w:p>
      <w:pPr>
        <w:pStyle w:val="Caption"/>
      </w:pPr>
      <w:r>
        <w:drawing>
          <wp:inline xmlns:a="http://schemas.openxmlformats.org/drawingml/2006/main" xmlns:pic="http://schemas.openxmlformats.org/drawingml/2006/picture">
            <wp:extent cx="5486400" cy="5034823"/>
            <wp:docPr id="1" name="Picture 1"/>
            <wp:cNvGraphicFramePr>
              <a:graphicFrameLocks noChangeAspect="1"/>
            </wp:cNvGraphicFramePr>
            <a:graphic>
              <a:graphicData uri="http://schemas.openxmlformats.org/drawingml/2006/picture">
                <pic:pic>
                  <pic:nvPicPr>
                    <pic:cNvPr id="0" name="S 1103-2023 karta.png"/>
                    <pic:cNvPicPr/>
                  </pic:nvPicPr>
                  <pic:blipFill>
                    <a:blip r:embed="rId16"/>
                    <a:stretch>
                      <a:fillRect/>
                    </a:stretch>
                  </pic:blipFill>
                  <pic:spPr>
                    <a:xfrm>
                      <a:off x="0" y="0"/>
                      <a:ext cx="5486400" cy="5034823"/>
                    </a:xfrm>
                    <a:prstGeom prst="rect"/>
                  </pic:spPr>
                </pic:pic>
              </a:graphicData>
            </a:graphic>
          </wp:inline>
        </w:drawing>
      </w:r>
    </w:p>
    <w:p>
      <w:pPr>
        <w:pStyle w:val="Caption"/>
        <w:spacing w:after="240"/>
      </w:pPr>
      <w:r>
        <w:t>Figur 1. Fyndplatser för naturvårdsarter i och inom 5 meter från samrådsanmälan. Markörer utan svart kant är placerade på fyndplatsen. Markörer med svart kant är placerade vid sidan av fyndplatsen och har ett svart streck som visar fyndplatsens exakta position. Kartans mittpunktskoordinat är N 6242169, E 409227 i SWEREF 99 TM.</w:t>
      </w:r>
    </w:p>
    <w:p>
      <w:r>
        <w:t>I och inom 5 meter från samrådsanmälan finns fynd av 3 naturvårdsarter, varav 2 är rödlistade, 1 är fridlyst, 1 är typisk (T) och 1 är signalart (S): dvärgjohannesört (EN, §8), borsttåg (NT) och kambräken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Kambräken</w:t>
      </w:r>
      <w:r>
        <w:t xml:space="preserve"> är i mellersta och östra Sverige en bra signalart som indikerar fuktiga skogsmiljöer med höga naturvärden. Ofta rör det sig om reliktförekomster i kontinuitetsskogar på källpåverkade marker och marker med ytligt rörligt markvatten. Växten är i mellersta och östra Sverige starkt känslig för avverkning som kan medföra ökad frostrisk på växtplatsen liksom alla former av markavvattning och körskador. Kambräken är typisk art för </w:t>
      </w:r>
      <w:r>
        <w:rPr>
          <w:i/>
        </w:rPr>
        <w:t xml:space="preserve">9040 Fjällbjörkskog </w:t>
      </w:r>
      <w:r>
        <w:t xml:space="preserve">och </w:t>
      </w:r>
      <w:r>
        <w:rPr>
          <w:i/>
        </w:rPr>
        <w:t>7160 Källor och källkärr</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