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5090-2024 i Hässleholms kommun</w:t>
      </w:r>
    </w:p>
    <w:p>
      <w:r>
        <w:t>Denna tillsynsbegäran behandlar höga naturvärden i samrådsanmälan S 5090-2024 i Hässleholms kommun som inkom 2024-12-16 och omfattar 27,7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S 5090-2024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6223883, E 405406 i SWEREF 99 TM.</w:t>
      </w:r>
    </w:p>
    <w:p>
      <w:r>
        <w:t>I och inom 20 meter från samrådsanmälan finns fynd av 4 naturvårdsarter, varav 3 är fridlysta, 1 är typisk (T) och 1 är signalart (S): blåmossa (S, T), vanlig groda (§6),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