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16550-2025 i Hässleholms kommun</w:t>
      </w:r>
    </w:p>
    <w:p>
      <w:r>
        <w:t>Detta dokument behandlar höga naturvärden i avverkningsanmälan A 16550-2025 i Hässleholms kommun som inkom 2025-04-04 och omfattar 0,7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Inom 4 meter från avverkningsanmälan har följande 1 naturvårdsarter hittats: skuggsprötmossa (S, T). Arter som är signalarter enligt Skogsstyrelsen har markerats med (S). Typiska arter inom Natura 2000 som är kopplade till skogsekosystem har markerats med (T).</w:t>
      </w:r>
    </w:p>
    <w:p>
      <w:r>
        <w:t>De påträffade naturvårdsarterna är ett tydligt kvitto på att det rör sig om en skog med höga naturvärden.</w:t>
      </w:r>
      <w:r>
        <w:t xml:space="preserve"> I Figur 1 visas fyndplatser för naturvårdsarter i området, som finns registrerade på Artportalen.</w:t>
      </w:r>
    </w:p>
    <w:p>
      <w:pPr>
        <w:pStyle w:val="Caption"/>
      </w:pPr>
      <w:r>
        <w:drawing>
          <wp:inline xmlns:a="http://schemas.openxmlformats.org/drawingml/2006/main" xmlns:pic="http://schemas.openxmlformats.org/drawingml/2006/picture">
            <wp:extent cx="5486400" cy="4999977"/>
            <wp:docPr id="1" name="Picture 1"/>
            <wp:cNvGraphicFramePr>
              <a:graphicFrameLocks noChangeAspect="1"/>
            </wp:cNvGraphicFramePr>
            <a:graphic>
              <a:graphicData uri="http://schemas.openxmlformats.org/drawingml/2006/picture">
                <pic:pic>
                  <pic:nvPicPr>
                    <pic:cNvPr id="0" name="A 16550-2025 karta.png"/>
                    <pic:cNvPicPr/>
                  </pic:nvPicPr>
                  <pic:blipFill>
                    <a:blip r:embed="rId16"/>
                    <a:stretch>
                      <a:fillRect/>
                    </a:stretch>
                  </pic:blipFill>
                  <pic:spPr>
                    <a:xfrm>
                      <a:off x="0" y="0"/>
                      <a:ext cx="5486400" cy="4999977"/>
                    </a:xfrm>
                    <a:prstGeom prst="rect"/>
                  </pic:spPr>
                </pic:pic>
              </a:graphicData>
            </a:graphic>
          </wp:inline>
        </w:drawing>
      </w:r>
    </w:p>
    <w:p>
      <w:pPr>
        <w:pStyle w:val="Caption"/>
        <w:spacing w:after="240"/>
      </w:pPr>
      <w:r>
        <w:t>Figur 1. Fyndplatser för naturvårdsarter inom 4 meter från avverkningsanmälan (röd linje). Markörer utan svart kant är placerade på fyndplatsen. Markörer med svart kant är placerade vid sidan av fyndplatsen och har ett svart streck som visar fyndplatsens exakta position. Kartans mittpunktskoordinat är N 6219139, E 437491 i SWEREF 99 TM.</w:t>
      </w:r>
    </w:p>
    <w:p>
      <w:r>
        <w:rPr>
          <w:b/>
        </w:rPr>
        <w:t>Skuggsprötmossa</w:t>
      </w:r>
      <w:r>
        <w:t xml:space="preserve"> växer på rik och vanligen fuktig skogsmark, samt på trädbaser och block, i både lövskog och barrskog. Skuggsprötmossa är typisk art för </w:t>
      </w:r>
      <w:r>
        <w:rPr>
          <w:i/>
        </w:rPr>
        <w:t xml:space="preserve">9180 Ädellövskog i branter </w:t>
      </w:r>
      <w:r>
        <w:t>(SLU Artdatabanken, 2025).</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2026-06-18</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