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13890-2024 i Hässleholms kommun</w:t>
      </w:r>
    </w:p>
    <w:p>
      <w:r>
        <w:t>Detta klagomål behandlar höga naturvärden i avverkningsanmälan A 13890-2024 i Hässleholms kommun som inkom 2024-04-09 och omfattar 1,4 ha.</w:t>
      </w:r>
    </w:p>
    <w:p>
      <w:pPr>
        <w:pStyle w:val="Caption"/>
      </w:pPr>
      <w:r>
        <w:drawing>
          <wp:inline xmlns:a="http://schemas.openxmlformats.org/drawingml/2006/main" xmlns:pic="http://schemas.openxmlformats.org/drawingml/2006/picture">
            <wp:extent cx="5174539" cy="5724000"/>
            <wp:docPr id="1" name="Picture 1"/>
            <wp:cNvGraphicFramePr>
              <a:graphicFrameLocks noChangeAspect="1"/>
            </wp:cNvGraphicFramePr>
            <a:graphic>
              <a:graphicData uri="http://schemas.openxmlformats.org/drawingml/2006/picture">
                <pic:pic>
                  <pic:nvPicPr>
                    <pic:cNvPr id="0" name="A 13890-2024 karta.png"/>
                    <pic:cNvPicPr/>
                  </pic:nvPicPr>
                  <pic:blipFill>
                    <a:blip r:embed="rId16"/>
                    <a:stretch>
                      <a:fillRect/>
                    </a:stretch>
                  </pic:blipFill>
                  <pic:spPr>
                    <a:xfrm>
                      <a:off x="0" y="0"/>
                      <a:ext cx="5174539"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6237144, E 435816 i SWEREF 99 TM.</w:t>
      </w:r>
    </w:p>
    <w:p>
      <w:r>
        <w:t>Inom 20 meter från avverkningsanmälan finns fynd av 4 naturvårdsarter, varav 2 är rödlistade, 1 är fridlyst, 2 är typiska (T) och 1 är signalart (S): bokvårtlav (NT, T), orangepudrad klotterlav (NT), platt fjädermossa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Orangepudrad klotterlav (NT)</w:t>
      </w:r>
      <w:r>
        <w:t xml:space="preserve"> växer på ved och bark av bok, men även andra lövträd, i skogar och bryn med hög luftfuktighet. Arten förekommer mest i fuktiga och skuggiga, slutna skogar, raviner och branter, oftast på mycket gamla, helt eller delvis döda träd med blottad ved. Den kan även finnas på lite öppnare lokaler men är bunden till skog och lövängar med lång kontinuitet. I Mellansverige växer den i gamla ädellövsskogar med hög luftfuktighet vid basen av lövträd. Arten växer ofta tillsammans med flera andra rödlistade lavar. På lokaler med arten får inte ljus- och fuktighetsförhållanden ändras eller den skogliga kontinuiteten brytas (SLU Artdatabanken, 2026).</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