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536-2026 i Hässleholms kommun</w:t>
      </w:r>
    </w:p>
    <w:p>
      <w:r>
        <w:t>Detta klagomål behandlar höga naturvärden i samrådsanmälan S 536-2026 i Hässleholms kommun som inkom 2026-02-26 och omfattar 5,8 ha.</w:t>
      </w:r>
    </w:p>
    <w:p>
      <w:pPr>
        <w:pStyle w:val="Caption"/>
      </w:pPr>
      <w:r>
        <w:drawing>
          <wp:inline xmlns:a="http://schemas.openxmlformats.org/drawingml/2006/main" xmlns:pic="http://schemas.openxmlformats.org/drawingml/2006/picture">
            <wp:extent cx="5486400" cy="5055549"/>
            <wp:docPr id="1" name="Picture 1"/>
            <wp:cNvGraphicFramePr>
              <a:graphicFrameLocks noChangeAspect="1"/>
            </wp:cNvGraphicFramePr>
            <a:graphic>
              <a:graphicData uri="http://schemas.openxmlformats.org/drawingml/2006/picture">
                <pic:pic>
                  <pic:nvPicPr>
                    <pic:cNvPr id="0" name="S 536-2026 karta.png"/>
                    <pic:cNvPicPr/>
                  </pic:nvPicPr>
                  <pic:blipFill>
                    <a:blip r:embed="rId16"/>
                    <a:stretch>
                      <a:fillRect/>
                    </a:stretch>
                  </pic:blipFill>
                  <pic:spPr>
                    <a:xfrm>
                      <a:off x="0" y="0"/>
                      <a:ext cx="5486400" cy="505554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6222742, E 405535 i SWEREF 99 TM.</w:t>
      </w:r>
    </w:p>
    <w:p>
      <w:r>
        <w:t>I samrådsanmälan finns fynd av 2 naturvårdsarter, varav 1 är typisk (T) och 2 är signalarter (S): björksplintborre (S) och skuggsprötmossa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Skuggsprötmossa</w:t>
      </w:r>
      <w:r>
        <w:t xml:space="preserve"> växer på rik och vanligen fuktig skogsmark, samt på trädbaser och block, i både lövskog och barrskog. Skuggsprötmossa är typisk art för </w:t>
      </w:r>
      <w:r>
        <w:rPr>
          <w:i/>
        </w:rPr>
        <w:t xml:space="preserve">9180 Ädellövskog i branter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