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57150-2023 i Hylte kommun</w:t>
      </w:r>
    </w:p>
    <w:p>
      <w:r>
        <w:t>Denna tillsynsbegäran behandlar höga naturvärden i avverkningsanmälan A 57150-2023 i Hylte kommun som inkom 2023-11-15 och omfattar 2,7 ha.</w:t>
      </w:r>
    </w:p>
    <w:p>
      <w:pPr>
        <w:pStyle w:val="Caption"/>
      </w:pPr>
      <w:r>
        <w:drawing>
          <wp:inline xmlns:a="http://schemas.openxmlformats.org/drawingml/2006/main" xmlns:pic="http://schemas.openxmlformats.org/drawingml/2006/picture">
            <wp:extent cx="5181105" cy="5724000"/>
            <wp:docPr id="1" name="Picture 1"/>
            <wp:cNvGraphicFramePr>
              <a:graphicFrameLocks noChangeAspect="1"/>
            </wp:cNvGraphicFramePr>
            <a:graphic>
              <a:graphicData uri="http://schemas.openxmlformats.org/drawingml/2006/picture">
                <pic:pic>
                  <pic:nvPicPr>
                    <pic:cNvPr id="0" name="A 57150-2023 karta.png"/>
                    <pic:cNvPicPr/>
                  </pic:nvPicPr>
                  <pic:blipFill>
                    <a:blip r:embed="rId16"/>
                    <a:stretch>
                      <a:fillRect/>
                    </a:stretch>
                  </pic:blipFill>
                  <pic:spPr>
                    <a:xfrm>
                      <a:off x="0" y="0"/>
                      <a:ext cx="5181105"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6318572, E 371156 i SWEREF 99 TM.</w:t>
      </w:r>
    </w:p>
    <w:p>
      <w:r>
        <w:t>I avverkningsanmälan finns fynd av 3 naturvårdsarter, varav 1 är rödlistad och 3 är fridlysta: duvhök (NT, §4), kråka (§4)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Duvhök (NT, §4)</w:t>
      </w:r>
      <w:r>
        <w:t>, som är rödlistad som nära hotad, har minskat med 15 (0–30) % under de senaste 18 åren och minskningstakten för den svenska populationen bedöms vara nära gränsvärdet för sårbar (VU). Arten är starkt bunden till skogsmark och jagar helst inne i äldre skog. Den missgynnas av stora hyggen och täta planteringar. De gamla fåglarna är i huvudsak stationära i sina revir och boet läggs inne i tät, oftast äldre skog. Kantzoner mot öppen mark undviks och duvhöken, som är beroende av insynsskyddade boplatser, är därför känsligare för slutavverkning än flera andra rovfåglar. Friställande av boträd eller avverkning så att boplatsen blir exponerad mot öppen mark, medför att platsen överges. Eftersom duvhöken helst häckar i gammal skog, är dess häckningsplatser i princip alltid mer eller mindre hotade av skogsbruk och avverkningar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Duvhök – ekologi samt krav på livsmiljön</w:t>
      </w:r>
    </w:p>
    <w:p>
      <w:r>
        <w:t>Duvhök (NT, §4) är rödlistad som nära hotad och fridlyst enligt 4§ artskyddsförordningen. Arten har minskat med 15 (0–30) % under de senaste 18 åren och minskningstakten för den svenska populationen bedöms vara nära gränsvärdet för sårbar (VU). Bedömningen baseras på direkt observation, ett för arten lämpligt abundansindex och minskad geografisk utbredning och/eller försämrad habitatkvalitet (allt yngre och tätare skogar vilket försvårar för boplacering samt missgynnar jaktmöjligheterna) (SLU Artdatabanken, 2026).</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2026).</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2026).</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