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samrådsanmälan S 1461-2026 i Hylte kommun</w:t>
      </w:r>
    </w:p>
    <w:p>
      <w:r>
        <w:t>Denna tillsynsbegäran behandlar höga naturvärden i samrådsanmälan S 1461-2026 i Hylte kommun som inkom 2026-05-19 och omfattar 26,6 ha.</w:t>
      </w:r>
    </w:p>
    <w:p>
      <w:pPr>
        <w:pStyle w:val="Caption"/>
      </w:pPr>
      <w:r>
        <w:drawing>
          <wp:inline xmlns:a="http://schemas.openxmlformats.org/drawingml/2006/main" xmlns:pic="http://schemas.openxmlformats.org/drawingml/2006/picture">
            <wp:extent cx="5486400" cy="4843879"/>
            <wp:docPr id="1" name="Picture 1"/>
            <wp:cNvGraphicFramePr>
              <a:graphicFrameLocks noChangeAspect="1"/>
            </wp:cNvGraphicFramePr>
            <a:graphic>
              <a:graphicData uri="http://schemas.openxmlformats.org/drawingml/2006/picture">
                <pic:pic>
                  <pic:nvPicPr>
                    <pic:cNvPr id="0" name="S 1461-2026 karta.png"/>
                    <pic:cNvPicPr/>
                  </pic:nvPicPr>
                  <pic:blipFill>
                    <a:blip r:embed="rId16"/>
                    <a:stretch>
                      <a:fillRect/>
                    </a:stretch>
                  </pic:blipFill>
                  <pic:spPr>
                    <a:xfrm>
                      <a:off x="0" y="0"/>
                      <a:ext cx="5486400" cy="4843879"/>
                    </a:xfrm>
                    <a:prstGeom prst="rect"/>
                  </pic:spPr>
                </pic:pic>
              </a:graphicData>
            </a:graphic>
          </wp:inline>
        </w:drawing>
      </w:r>
    </w:p>
    <w:p>
      <w:pPr>
        <w:pStyle w:val="Caption"/>
        <w:spacing w:after="240"/>
      </w:pPr>
      <w:r>
        <w:t>Figur 1. Fyndplatser för naturvårdsarter i och inom 18 meter från samrådsanmälan. Markörer utan svart kant är placerade på fyndplatsen. Markörer med svart kant är placerade vid sidan av fyndplatsen och har ett svart streck som visar fyndplatsens exakta position. Kartans mittpunktskoordinat är N 6307091, E 404426 i SWEREF 99 TM.</w:t>
      </w:r>
    </w:p>
    <w:p>
      <w:r>
        <w:t>I och inom 18 meter från samrådsanmälan finns fynd av 3 naturvårdsarter, varav 1 är rödlistad, 1 är typisk (T) och 2 är signalarter (S): slåttergubbe (VU), bårdlav (S, T) och dvärgtufs (S).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r>
        <w:rPr>
          <w:b/>
        </w:rPr>
        <w:t>Bårdlav</w:t>
      </w:r>
      <w:r>
        <w:t xml:space="preserve"> signalerar miljöer med höga naturvärden och på lokalerna finns vanligtvis många andra ovanliga och rödlistade arter. Den visar även på platser med hög och jämn luftfuktighet. På bårdlav och andra njurlavar (Nephroma) kan de sällsynta parasiterna </w:t>
      </w:r>
      <w:r>
        <w:rPr>
          <w:i/>
        </w:rPr>
        <w:t xml:space="preserve">Protounguicularia nephromatis </w:t>
      </w:r>
      <w:r>
        <w:t xml:space="preserve">(VU) och </w:t>
      </w:r>
      <w:r>
        <w:rPr>
          <w:i/>
        </w:rPr>
        <w:t xml:space="preserve">Tremella nephromatis </w:t>
      </w:r>
      <w:r>
        <w:t xml:space="preserve">(DD) påträffas. Bårdlav är typisk art för </w:t>
      </w:r>
      <w:r>
        <w:rPr>
          <w:i/>
        </w:rPr>
        <w:t xml:space="preserve">9010 Taiga, 9020 Nordlig ädellövskog, 9070 Trädklädd betesmark, 9110 Näringsfattig bokskog, 9160 Näringsrik ekskog, 9180 Ädellövskog i branter </w:t>
      </w:r>
      <w:r>
        <w:t>och</w:t>
      </w:r>
      <w:r>
        <w:rPr>
          <w:i/>
        </w:rPr>
        <w:t xml:space="preserve"> 9190 Näringsfattig ekskog</w:t>
      </w:r>
      <w:r>
        <w:t xml:space="preserve"> (SLU Artdatabanken, 2026;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