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Vägledning för hänsyn till sommargylling.</w:t>
      </w:r>
    </w:p>
    <w:p>
      <w:r>
        <w:t>SLU Artdatabanken, 2024.</w:t>
      </w:r>
      <w:r>
        <w:rPr>
          <w:i/>
        </w:rPr>
        <w:t xml:space="preserve">  Artfakta: sommargylling (Oriolus oriolus).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