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609-2025 i Hylte kommun</w:t>
      </w:r>
    </w:p>
    <w:p>
      <w:r>
        <w:t>Detta dokument behandlar höga naturvärden i avverkningsanmälan A 609-2025 i Hylte kommun. Denna avverkningsanmälan inkom 2025-01-07 14:29:02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sommargylling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09-2025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6323149, E 399229 i SWEREF 99 TM.</w:t>
      </w:r>
    </w:p>
    <w:p>
      <w:pPr>
        <w:pStyle w:val="Heading1"/>
      </w:pPr>
      <w:r>
        <w:t>Fridlysta arter</w:t>
      </w:r>
    </w:p>
    <w:p>
      <w:r>
        <w:t>Följande fridlysta arter har sina livsmiljöer och växtplatser i den avverkningsanmälda skogen: sommargylling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Sommargylling (EN, §4)</w:t>
      </w:r>
      <w:r>
        <w:t xml:space="preserve"> är en starkt hotad art som häckar i närheten av gläntor och skogsbryn i områden med högstammig bok- eller tallskog, fuktig björkskog eller ekskog. Reviret omfattar 4–50 ha (medelvärde 17 ha) och gemensamt för häckningsmiljöerna är att trädskiktet är tätt med välutvecklad, komplex struktur och med solbelysta gläntor och kantzoner. Arten missgynnas av avverkning och gallring av äldre skog i lämpliga häckningsmiljöer. Undervegetationen vid sommargyllingarnas boplatser måste bevaras, liksom näraliggande våtmarker. Det är viktigt att häckningsplatserna inte utsätts för biotopförändringar eller direkta störningar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Sommargylling – ekologi samt krav på livsmiljön</w:t>
      </w:r>
    </w:p>
    <w:p>
      <w:r>
        <w:t>Sommargylling (EN, §4) är en starkt hotad art som häckar i närheten av gläntor och skogsbryn i områden med högstammig bok- eller tallskog, fuktig björkskog eller ekskog. Undervegetationen är ofta yppig och en mosaik av täta skogsdungar, öppna marker och småvatten med rik vegetation förefaller vara optimalt för arten (SLU Artdatabanken, 2024).</w:t>
      </w:r>
    </w:p>
    <w:p>
      <w:r>
        <w:t>Själva reviret omfattar 4–50 ha (medelvärde 17 ha). På Revingefältet (40 km2) häckade 12 par 1976, vilket innebar en täthet på 0,3 par/km2 där medelavståndet mellan boplatserna var cirka 1300 meter. Gemensamt för häckningsmiljöerna är att trädskiktet är tätt med välutvecklad, komplex struktur och med solbelysta gläntor och kantzoner. Tillgång till högre/äldre träd för boets placering är viktig, liksom riklig undervegetation. När buskar och högre örter rensades bort för att ge plats åt en beteshage på en gammal lokal för sommargylling, upphörde fåglarna att häcka där. Torrläggning av lummiga sankområden, som utgjort provianteringsplats för sommargyllingar, har gett samma resultat (SLU Artdatabanken, 2024; Skogsstyrelsen, 2016).</w:t>
      </w:r>
    </w:p>
    <w:p>
      <w:r>
        <w:t>Arten missgynnas av avverkning av lämpliga häckningsmiljöer. Eftersom förekomst av ett tätt kronskikt är viktigt för sommargyllingen är den troligen känslig även för gallring av äldre skog. Undervegetationen vid sommargyllingarnas boplatser måste bevaras, liksom näraliggande våtmarker. Det är viktigt att häckningsplatserna inte utsätts för biotopförändringar eller direkta störningar (SLU Artdatabanken, 2024; Skogsstyrelsen, 2016).</w:t>
      </w:r>
    </w:p>
    <w:p>
      <w:pPr>
        <w:pStyle w:val="Heading2"/>
      </w:pPr>
      <w:r>
        <w:t>Referenser – sommargylling</w:t>
      </w:r>
    </w:p>
    <w:p>
      <w:r>
        <w:t xml:space="preserve">Skogsstyrelsen, 2016. </w:t>
      </w:r>
      <w:r>
        <w:rPr>
          <w:i/>
        </w:rPr>
        <w:t xml:space="preserve">Vägledning för hänsyn till sommargylling. </w:t>
      </w:r>
      <w:r>
        <w:t>Vägledningar och kunskapsstöd artskydd - Skogsstyrelsen</w:t>
      </w:r>
    </w:p>
    <w:p>
      <w:r>
        <w:t>SLU Artdatabanken, 2024.</w:t>
      </w:r>
      <w:r>
        <w:rPr>
          <w:i/>
        </w:rPr>
        <w:t xml:space="preserve">  Artfakta: sommargylling (Oriolus oriolus). </w:t>
      </w:r>
      <w:r>
        <w:t>https://artfakta.se/taxa/100094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