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2016-2026 i Halmstads kommun</w:t>
      </w:r>
    </w:p>
    <w:p>
      <w:r>
        <w:t>Detta klagomål behandlar höga naturvärden i samrådsanmälan S 2016-2026 i Halmstads kommun som inkom 2026-07-09 och omfattar 25,2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S 2016-2026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har ett svart streck som visar fyndplatsens exakta position. Kartans mittpunktskoordinat är N 6286568, E 375542 i SWEREF 99 TM.</w:t>
      </w:r>
    </w:p>
    <w:p>
      <w:r>
        <w:t>I och inom 8 meter från samrådsanmälan finns fynd av 19 naturvårdsarter, varav 6 är rödlistade, 9 är typiska (T) och 13 är signalarter (S): blek kraterlav (VU), Enicmus atriceps (VU), bergjohannesört (NT), bokvedvivel (NT), lunglav (NT, T), rutskinn (NT, T), bred tickgnagare (S), Dorcatoma chrysomelina (S), Dorcatoma dresdensis (S), ekskinn (S, T), fällmossa (S, T), guldlockmossa (S, T), lönnlav (S), murgröna (S, T), noshornsoxe (S), platt fjädermossa (S, T), rostfläck (S, T), Scytinium lichenoides s.lat. (S, T) och tvåfläckig praktbagge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 xml:space="preserve">Bokvedvivel (NT) </w:t>
      </w:r>
      <w:r>
        <w:t>är en skalbagge vars larvutveckling sker i mer eller mindre hård, död ved, ofta på insidan av stamhåligheter i gamla, levande träd. Främst i lövträd som bok, ek, alm, lönn, lind, hästkastanj och asp, i Centraleuropa även i barrträd. Ofta i allé- och parkträd, och gärna i den svagt ammoniakdoftande ved som bildas nära fågelbon i hålträd. Det största hotet mot denna och en mängd andra rödlistade arter är att träd i parker och alléer fälls och fraktas bort. Den hotas också av igenväxningen av gamla naturbetesmarker som ofta hyser lämpliga hålträd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