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2014-2024 i Halmstads kommun</w:t>
      </w:r>
    </w:p>
    <w:p>
      <w:r>
        <w:t>Denna tillsynsbegäran behandlar höga naturvärden i samrådsanmälan S 2014-2024 i Halmstads kommun som inkom 2024-06-04 och omfattar 30,1 ha.</w:t>
      </w:r>
    </w:p>
    <w:p>
      <w:pPr>
        <w:pStyle w:val="Caption"/>
      </w:pPr>
      <w:r>
        <w:drawing>
          <wp:inline xmlns:a="http://schemas.openxmlformats.org/drawingml/2006/main" xmlns:pic="http://schemas.openxmlformats.org/drawingml/2006/picture">
            <wp:extent cx="5486400" cy="4522981"/>
            <wp:docPr id="1" name="Picture 1"/>
            <wp:cNvGraphicFramePr>
              <a:graphicFrameLocks noChangeAspect="1"/>
            </wp:cNvGraphicFramePr>
            <a:graphic>
              <a:graphicData uri="http://schemas.openxmlformats.org/drawingml/2006/picture">
                <pic:pic>
                  <pic:nvPicPr>
                    <pic:cNvPr id="0" name="S 2014-2024 karta.png"/>
                    <pic:cNvPicPr/>
                  </pic:nvPicPr>
                  <pic:blipFill>
                    <a:blip r:embed="rId16"/>
                    <a:stretch>
                      <a:fillRect/>
                    </a:stretch>
                  </pic:blipFill>
                  <pic:spPr>
                    <a:xfrm>
                      <a:off x="0" y="0"/>
                      <a:ext cx="5486400" cy="4522981"/>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6280496, E 376479 i SWEREF 99 TM.</w:t>
      </w:r>
    </w:p>
    <w:p>
      <w:r>
        <w:t>I och inom 18 meter från samrådsanmälan finns fynd av 9 naturvårdsarter, varav 4 är rödlistade, 8 är fridlysta och 2 är typiska (T): entita (NT, T, §4), gulsparv (NT, §4), hårginst (NT), talltita (NT, §4), spillkråka (T, §4), grönsiska (§4), kråka (§4), kungsfågel (§4) och trädlärka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