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49151-2024 i Halmstads kommun</w:t>
      </w:r>
    </w:p>
    <w:p>
      <w:r>
        <w:t>Detta dokument behandlar höga naturvärden i avverkningsanmälan A 49151-2024 i Halmstads kommun. Denna avverkningsanmälan inkom 2024-10-29 00:00:00 och omfattar 0,5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gulnål (S) och jättesvampmal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22631"/>
            <wp:docPr id="1" name="Picture 1"/>
            <wp:cNvGraphicFramePr>
              <a:graphicFrameLocks noChangeAspect="1"/>
            </wp:cNvGraphicFramePr>
            <a:graphic>
              <a:graphicData uri="http://schemas.openxmlformats.org/drawingml/2006/picture">
                <pic:pic>
                  <pic:nvPicPr>
                    <pic:cNvPr id="0" name="A 49151-2024 karta.png"/>
                    <pic:cNvPicPr/>
                  </pic:nvPicPr>
                  <pic:blipFill>
                    <a:blip r:embed="rId16"/>
                    <a:stretch>
                      <a:fillRect/>
                    </a:stretch>
                  </pic:blipFill>
                  <pic:spPr>
                    <a:xfrm>
                      <a:off x="0" y="0"/>
                      <a:ext cx="5486400" cy="55226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6295449, E 384413 i SWEREF 99 TM.</w:t>
      </w:r>
    </w:p>
    <w:p>
      <w:r>
        <w:rPr>
          <w:b/>
        </w:rPr>
        <w:t>Gulnål</w:t>
      </w:r>
      <w:r>
        <w:t xml:space="preserve"> växer mest på murknande lövträdsved och barrträdsved och förekommer i skuggiga miljöer med hög luftfuktighet. I södra Sverige är den en relativt bra signal på biotoper med höga naturvärden och följs ofta av sällsynta arter. Gulnål är typisk art för </w:t>
      </w:r>
      <w:r>
        <w:rPr>
          <w:i/>
        </w:rPr>
        <w:t>9110 Näringsfattig bokskog</w:t>
      </w:r>
      <w:r>
        <w:t xml:space="preserve"> och</w:t>
      </w:r>
      <w:r>
        <w:rPr>
          <w:i/>
        </w:rPr>
        <w:t xml:space="preserve"> 9130 Näringsrik bokskog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