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49151-2024 i Halmstads kommun</w:t>
      </w:r>
    </w:p>
    <w:p>
      <w:r>
        <w:t>Denna tillsynsbegäran behandlar höga naturvärden i avverkningsanmälan A 49151-2024 i Halmstads kommun som inkom 2024-10-29 och omfattar 0,5 ha.</w:t>
      </w:r>
    </w:p>
    <w:p>
      <w:pPr>
        <w:pStyle w:val="Caption"/>
      </w:pPr>
      <w:r>
        <w:drawing>
          <wp:inline xmlns:a="http://schemas.openxmlformats.org/drawingml/2006/main" xmlns:pic="http://schemas.openxmlformats.org/drawingml/2006/picture">
            <wp:extent cx="5486400" cy="5148476"/>
            <wp:docPr id="1" name="Picture 1"/>
            <wp:cNvGraphicFramePr>
              <a:graphicFrameLocks noChangeAspect="1"/>
            </wp:cNvGraphicFramePr>
            <a:graphic>
              <a:graphicData uri="http://schemas.openxmlformats.org/drawingml/2006/picture">
                <pic:pic>
                  <pic:nvPicPr>
                    <pic:cNvPr id="0" name="A 49151-2024 karta.png"/>
                    <pic:cNvPicPr/>
                  </pic:nvPicPr>
                  <pic:blipFill>
                    <a:blip r:embed="rId16"/>
                    <a:stretch>
                      <a:fillRect/>
                    </a:stretch>
                  </pic:blipFill>
                  <pic:spPr>
                    <a:xfrm>
                      <a:off x="0" y="0"/>
                      <a:ext cx="5486400" cy="5148476"/>
                    </a:xfrm>
                    <a:prstGeom prst="rect"/>
                  </pic:spPr>
                </pic:pic>
              </a:graphicData>
            </a:graphic>
          </wp:inline>
        </w:drawing>
      </w:r>
    </w:p>
    <w:p>
      <w:pPr>
        <w:pStyle w:val="Caption"/>
        <w:spacing w:after="240"/>
      </w:pPr>
      <w:r>
        <w:t>Figur 1. Fyndplatser för naturvårdsarter i och inom 24 meter från avverkningsanmälan. Markörer utan svart kant är placerade på fyndplatsen. Markörer med svart kant är placerade vid sidan av fyndplatsen har ett svart streck som visar fyndplatsens exakta position. Kartans mittpunktskoordinat är N 6295449, E 384413 i SWEREF 99 TM.</w:t>
      </w:r>
    </w:p>
    <w:p>
      <w:r>
        <w:t>I och inom 24 meter från avverkningsanmälan finns fynd av 11 naturvårdsarter, varav 2 är rödlistade, 4 är fridlysta, 5 är typiska (T) och 6 är signalarter (S): pulverädellav (VU), nordfladdermus (NT, §4a), guldlockmossa (S, T), gulnål (S, T), jättesvampmal (S), klippfrullania (S, T), skuggmossa (S, T), trädporella (S, T), dvärgpipistrell (§4a), större brunfladdermus (§4a) och vattenfladdermus (§4a).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Pulverädellav (VU)</w:t>
      </w:r>
      <w:r>
        <w:t xml:space="preserve"> är en suboceanisk art som förekommer i södra delarna av landet. Den växer främst på ek, men även på alm, ask, asp, klibbal och rönn i blandskog. Arten är beroende av hög luftfuktighet och förekommer på lokaler med höga naturvärden. Aktivt skogsbruk bör undvikas i nära anslutning till dessa platser. Speciellt viktigt är att fuktighetsförhållandena inte ändras genom t.ex. dikning. Rikliga lokaler bör skyddas (SLU Artdatabanken, 2026).</w:t>
      </w:r>
    </w:p>
    <w:p>
      <w:r>
        <w:rPr>
          <w:b/>
        </w:rPr>
        <w:t>Nordfladdermus (NT, §4a)</w:t>
      </w:r>
      <w:r>
        <w:t xml:space="preserve"> omfattas av bilaga 4 EU:s art- och habitatdirektiv vilket innebär ett strikt skydd där arten och dess livsmiljöer ska bevaras. Nordfladdermus föredrar variationsrik skog med förekomst av sjöar, vattendrag och våtmarker och hittas framförallt i halvöppna miljöer som trädbärande beteshagar och i kantzoner mellan skog och odlingsmark. Den undviker stora öppna områden som stora hyggen och större sammanhängande planteringar vilket minskar längden bryn och landskapets heterogenitet och därmed födotillgången och mängden lämpliga jaktplatser. Skogsbruksåtgärder som leder till minskad förekomst av äldre, gles skog och då särskilt tillgång på hålträd och träd med löst sittande bark kan leda till brist på koloniplatser och viloplatser. Nordfladdermus har minskat med 27,5 (5–50) % under de senaste 21 åren och minskningstakten för den svenska populationen bedöms vara nära gränsvärdet för Sårbar (VU). (A2bc) (SLU Artdatabanken, 2024; Skogsstyrelsen, 2016).</w:t>
      </w:r>
    </w:p>
    <w:p>
      <w:r>
        <w:rPr>
          <w:b/>
        </w:rPr>
        <w:t>Guldlockmossa</w:t>
      </w:r>
      <w:r>
        <w:t xml:space="preserve"> växer på solexponerade, basiska klippor och block samt på skrovlig bark vid basen av ädellövträd med rik bark, ofta på gamla ekar, bokar och andra ädellövträd som står öppet i bryn. Särskilt högt signalvärde har den i norra Sverige där den sällsynt kan påträffas i sydväxtberg på klippor med basiska bergarter. Guldlockmossa är typisk art för </w:t>
      </w:r>
      <w:r>
        <w:rPr>
          <w:i/>
        </w:rPr>
        <w:t xml:space="preserve">9110 Näringsfattig bokskog, 9160 Näringsrik ekskog, 9180 Ädellövskog i branter </w:t>
      </w:r>
      <w:r>
        <w:t xml:space="preserve">och </w:t>
      </w:r>
      <w:r>
        <w:rPr>
          <w:i/>
        </w:rPr>
        <w:t xml:space="preserve">9190 Näringsfattig ekskog </w:t>
      </w:r>
      <w:r>
        <w:t>(Nitare &amp; Skogsstyrelsen, 2019; SLU Artdatabanken, 2025).</w:t>
      </w:r>
    </w:p>
    <w:p>
      <w:r>
        <w:rPr>
          <w:b/>
        </w:rPr>
        <w:t>Gulnål</w:t>
      </w:r>
      <w:r>
        <w:t xml:space="preserve"> växer mest på murknande lövträdsved och barrträdsved och förekommer i skuggiga miljöer med hög luftfuktighet. I södra Sverige är den en relativt bra signal på biotoper med höga naturvärden och följs ofta av sällsynta arter. Gulnål är typisk art för </w:t>
      </w:r>
      <w:r>
        <w:rPr>
          <w:i/>
        </w:rPr>
        <w:t>9110 Näringsfattig bokskog</w:t>
      </w:r>
      <w:r>
        <w:t xml:space="preserve"> och</w:t>
      </w:r>
      <w:r>
        <w:rPr>
          <w:i/>
        </w:rPr>
        <w:t xml:space="preserve"> 9130 Näringsrik bokskog </w:t>
      </w:r>
      <w:r>
        <w:t>(Nitare &amp; Skogsstyrelsen, 2019; SLU Artdatabanken, 2025).</w:t>
      </w:r>
    </w:p>
    <w:p>
      <w:r>
        <w:rPr>
          <w:b/>
        </w:rPr>
        <w:t>Jättesvampmal</w:t>
      </w:r>
      <w:r>
        <w:t xml:space="preserve"> är en fjäril som flyger i juli i mer eller mindre orörd gammal löv- eller blandskog, särskilt sådan med björk och bok. Larven lever i fnöskticka m.fl. tickor och kläckhålen och resterna av larvgångar i äldre fruktkroppar är lätta att känna igen och inventera. Arten hotas av avverkning av gamla, svampangripna lövträd samt bortforsling av döda lövträd, vindfällen och lågor. Gamla lövträd och naturbestånd med lövskog - särskilt björk och bok - bör sparas så långt möjligt och död ved lämnas kvar i skogen (SLU Artdatabanken, 2025).</w:t>
      </w:r>
    </w:p>
    <w:p>
      <w:r>
        <w:rPr>
          <w:b/>
        </w:rPr>
        <w:t>Klippfrullania</w:t>
      </w:r>
      <w:r>
        <w:t xml:space="preserve"> är i centrala, östra och norra Sverige en bra signalart. Den påträffas där i skyddsvärda skogsmiljöer med lång kontinuitet av gamla träd i halvöppen terräng, samt trädklädda bergbranter med ett mikroklimat som har konstant hög och jämn luftfuktighet året om. Klippfrullania är typisk art för </w:t>
      </w:r>
      <w:r>
        <w:rPr>
          <w:i/>
        </w:rPr>
        <w:t xml:space="preserve">9020 Nordlig ädellövskog, 9110 Näringsfattig bokskog, 9130 Näringsrik bokskog, 9160 Näringsrik ekskog, 9180 Ädellövskog i branter </w:t>
      </w:r>
      <w:r>
        <w:t xml:space="preserve">och </w:t>
      </w:r>
      <w:r>
        <w:rPr>
          <w:i/>
        </w:rPr>
        <w:t xml:space="preserve">9190 Näringsfattig ekskog </w:t>
      </w:r>
      <w:r>
        <w:t>(Nitare &amp; Skogsstyrelsen, 2019; SLU Artdatabanken, 2025).</w:t>
      </w:r>
    </w:p>
    <w:p>
      <w:r>
        <w:rPr>
          <w:b/>
        </w:rPr>
        <w:t xml:space="preserve">Skuggmossa </w:t>
      </w:r>
      <w:r>
        <w:t xml:space="preserve">förekommer främst i skuggiga och fuktiga granskogar med hög och jämn luftfuktighet och signalerar alltid skog med höga naturvärden. Skuggmossa är typisk art för </w:t>
      </w:r>
      <w:r>
        <w:rPr>
          <w:i/>
        </w:rPr>
        <w:t>9080 Lövsumpskog</w:t>
      </w:r>
      <w:r>
        <w:t xml:space="preserve"> (Nitare &amp; Skogsstyrelsen, 2019; SLU Artdatabanken, 2025).</w:t>
      </w:r>
    </w:p>
    <w:p>
      <w:r>
        <w:rPr>
          <w:b/>
        </w:rPr>
        <w:t xml:space="preserve">Trädporella </w:t>
      </w:r>
      <w:r>
        <w:t xml:space="preserve">är i stora delar av landet en utmärkt signal på skog med höga naturvärden och ofta påträffas många ovanliga och rödlistade arter på dess lokaler. Den växer huvudsakligen på grova ädellövträd i skuggiga och fuktiga miljöer, främst i slutna ädellövskogar och bergbranter med inslag av kalk- eller grönsten. Trädporella är typisk art för </w:t>
      </w:r>
      <w:r>
        <w:rPr>
          <w:i/>
        </w:rPr>
        <w:t xml:space="preserve">9020 Nordlig ädellövskog, 9110 Näringsfattig bokskog, 9130 Näringsrik bokskog, 9160 Näringsrik ekskog, 9180 Ädellövskog i branter </w:t>
      </w:r>
      <w:r>
        <w:t xml:space="preserve">och </w:t>
      </w:r>
      <w:r>
        <w:rPr>
          <w:i/>
        </w:rPr>
        <w:t xml:space="preserve">9190 Näringsfattig ekskog </w:t>
      </w:r>
      <w:r>
        <w:t>(Nitare &amp; Skogsstyrelsen, 2019; SLU Artdatabanken, 2025).</w:t>
      </w:r>
    </w:p>
    <w:p>
      <w:r>
        <w:rPr>
          <w:b/>
        </w:rPr>
        <w:t>Dvärgpipistrell (§4a)</w:t>
      </w:r>
      <w:r>
        <w:t xml:space="preserve"> omfattas av bilaga 4 EU:s art- och habitatdirektiv vilket innebär ett strikt skydd där arten och dess livsmiljöer ska bevaras. Arten förekommer i alla typer av glesare skogar men föredrar framförallt lövskog. Den födosöker inne bland träden och man hittar den i trädbärande beteshagar, i kantzoner mellan skog och odlingsmark, i närheten av vatten och i bymiljöer. Den undviker stora sammanhängande öppna miljöer såsom åkrar och hyggen. Skogsbruksåtgärder som leder till minskad förekomst av äldre, gles skog och då särskilt tillgång på hålträd och träd med löst sittande bark kan leda till brist på koloniplatser och viloplatser (SLU Artdatabanken, 2024; Skogsstyrelsen, 2016).</w:t>
      </w:r>
    </w:p>
    <w:p>
      <w:r>
        <w:rPr>
          <w:b/>
        </w:rPr>
        <w:t>Större brunfladdermus (§4a)</w:t>
      </w:r>
      <w:r>
        <w:t xml:space="preserve"> omfattas av bilaga 4 EU:s art- och habitatdirektiv vilket innebär ett strikt skydd där arten och dess livsmiljöer ska bevaras. Den lever huvudsakligen i större skogsområden med gamla lövträdsbestånd, där den jagar i alla typer av öppna och halvöppna miljöer, ofta över stora sjöar och vattendrag, strandängar, betes- och slåttermarker. Under året utnyttjar fladdermössen många olika miljöer och ett effektivt bevarandearbete måste därför utgå från ett landskapsekologiskt perspektiv. Den viktigaste faktorn för om fladdermössen ska kunna leva i ett område är tillgången på föda i form av nattaktiva insekter. Ett bra hemområde måste erbjuda god födotillgång under hela aktivitetsperioden. Åtgärder som bevarar och gynnar en hög insektsproduktion är därför centrala. I ett varierat landskap med hög andel äldre lövträd, småvatten, sumpskogar, öppna våtmarker, ängar och betesmarker avlöser olika insektsgrupper varandra vilket gör att det hela tiden finns tillräckligt med föda. Gamla träd med grov bark, skador, håligheter eller döda delar bör lämnas och yngre träd (efterträdare) tillåtas finnas kvar och åldras för att säkra framtida förekomst av lämpliga yngelmiljöer. Övervintringsplatser måste skyddas effektivt från störningar (SLU Artdatabanken, 2024).</w:t>
      </w:r>
    </w:p>
    <w:p>
      <w:r>
        <w:rPr>
          <w:b/>
        </w:rPr>
        <w:t>Vattenfladdermus (§4a)</w:t>
      </w:r>
      <w:r>
        <w:t xml:space="preserve"> omfattas av bilaga 4 EU:s art- och habitatdirektiv vilket innebär ett strikt skydd där arten och dess livsmiljöer ska bevaras. Arten förekommer mest vid vatten, vid både sjöar och vattendrag där den födosöker antingen tätt ovanför vattenytan eller i strandskog. Kolonin kan ligga ganska långt från vatten och den kan ibland jaga i skog flera kilometer från vatten. För vattenfladdermusen bör framförallt åtgärder planeras och vidtas i strandnära områden. Sumpskog och hålträd behöver bevaras och återskapas. Gamla träd med grov bark, skador, håligheter eller döda delar bör lämnas och yngre träd (efterträdare) tillåtas finnas kvar och åldras för att säkra framtida förekomst av lämpliga yngelmiljöer. Övervintringsplatser måste skyddas effektivt från störningar. Vattenfladdermus är typisk art för </w:t>
      </w:r>
      <w:r>
        <w:rPr>
          <w:i/>
        </w:rPr>
        <w:t>8310 Grottor</w:t>
      </w:r>
      <w:r>
        <w:t xml:space="preserve"> och </w:t>
      </w:r>
      <w:r>
        <w:rPr>
          <w:i/>
        </w:rPr>
        <w:t>8330 Havsgrottor</w:t>
      </w:r>
      <w:r>
        <w:t xml:space="preserve"> (SLU Artdatabanken, 2025).</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avverkningsanmälda skogen: guldlockmossa (S, T), gulnål (S, T), klippfrullania (S, T), skuggmossa (S, T) och trädporella (S, T).</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 Fridlysta arter</w:t>
      </w:r>
    </w:p>
    <w:p>
      <w:pPr>
        <w:pStyle w:val="Heading1"/>
      </w:pPr>
      <w:r>
        <w:t>Nordfladdermus – ekologi samt krav på livsmiljön</w:t>
      </w:r>
    </w:p>
    <w:p>
      <w:r>
        <w:t>Nordfladdermus (NT, §4a) omfattas av bilaga 4 EU:s art- och habitatdirektiv vilket innebär ett strikt skydd för arten och dess livsmiljöer. Arten har minskat med 27,5 (5–50) % under de senaste 21 åren och minskningstakten för den svenska populationen bedöms vara nära gränsvärdet för Sårbar (VU). (A2bc) (SLU Artdatabanken, 2024).</w:t>
      </w:r>
    </w:p>
    <w:p>
      <w:r>
        <w:t>Nordfladdermus föredrar variationsrik skog med förekomst av sjöar, vattendrag och våtmarker och hittas framförallt i halvöppna miljöer som trädbärande beteshagar och i kantzoner mellan skog och odlingsmark. Den undviker stora öppna områden som stora hyggen och större sammanhängande planteringar vilket minskar längden bryn och landskapets heterogenitet och därmed födotillgången och mängden lämpliga jaktplatser. Skogsbruksåtgärder som leder till minskad förekomst av äldre, gles skog och då särskilt tillgång på hålträd och träd med löst sittande bark kan leda till brist på koloniplatser och viloplatser (SLU Artdatabanken, 2024; Skogsstyrelsen, 2016).</w:t>
      </w:r>
    </w:p>
    <w:p>
      <w:r>
        <w:t>Fladdermöss är beroende av hänsyn på landskapsnivå och det är viktigt att alla typer av vatten och våtmarker samt fuktiga skogspartier återställs och bevaras. Sväm- och sumpskog ska alltid sparas, och äldre lövmiljöer bör alltid sparas för födosök, koloniplatser och viloplatser. Utöver kantzoner mot vatten och våtmarker bör tillräckligt breda skyddszoner av uppväxt skog sparas för att skapa och bevara vindskyddade födosöksmiljöer. Genom att binda samman befintliga skogsbestånd med korridorer av uppvuxen skog skapas ett fladdermusvänligt landskap (SLU Artdatabanken, 2024; Skogsstyrelsen, 2016).</w:t>
      </w:r>
    </w:p>
    <w:p>
      <w:pPr>
        <w:pStyle w:val="Heading2"/>
      </w:pPr>
      <w:r>
        <w:t>Referenser – nordfladdermus</w:t>
      </w:r>
    </w:p>
    <w:p>
      <w:r>
        <w:t xml:space="preserve">Skogsstyrelsen, 2016. </w:t>
      </w:r>
      <w:r>
        <w:rPr>
          <w:i/>
        </w:rPr>
        <w:t xml:space="preserve">Vägledning för hänsyn till nordfladdermus. </w:t>
      </w:r>
      <w:r>
        <w:t>Vägledningar och kunskapsstöd artskydd - Skogsstyrelsen</w:t>
      </w:r>
    </w:p>
    <w:p>
      <w:r>
        <w:t>SLU Artdatabanken, 2024.</w:t>
      </w:r>
      <w:r>
        <w:rPr>
          <w:i/>
        </w:rPr>
        <w:t xml:space="preserve">  Artfakta: nordfladdermus (Eptesicus nilssonii). </w:t>
      </w:r>
      <w:r>
        <w:t>https://artfakta.se/taxa/205998</w:t>
      </w:r>
    </w:p>
    <w:p>
      <w:pPr>
        <w:pStyle w:val="Heading1"/>
      </w:pPr>
      <w:r>
        <w:t>Dvärgpipistrell – ekologi samt krav på livsmiljön</w:t>
      </w:r>
    </w:p>
    <w:p>
      <w:r>
        <w:t>Dvärgpipistrell (§4a) omfattas av bilaga 4 EU:s art- och habitatdirektiv vilket innebär ett strikt skydd för arten och dess livsmiljöer. Arten förekommer i alla typer av glesare skogar men föredrar framförallt lövskog. Den födosöker inne bland träden och man hittar den i trädbärande beteshagar, i kantzoner mellan skog och odlingsmark, i närheten av vatten och i bymiljöer. Den undviker stora sammanhängande öppna miljöer såsom åkrar och hyggen. Skogsbruksåtgärder som leder till minskad förekomst av äldre, gles skog och då särskilt tillgång på hålträd och träd med löst sittande bark kan leda till brist på koloniplatser och viloplatser (SLU Artdatabanken, 2024; Skogsstyrelsen, 2016).</w:t>
      </w:r>
    </w:p>
    <w:p>
      <w:r>
        <w:t>Fladdermöss är beroende av hänsyn på landskapsnivå och det är viktigt att alla typer av vatten och våtmarker samt fuktiga skogspartier återställs och bevaras. Sväm- och sumpskog ska alltid sparas, och äldre lövmiljöer bör alltid sparas för födosök, koloniplatser och viloplatser. Utöver kantzoner mot vatten och våtmarker bör tillräckligt breda skyddszoner av uppväxt skog sparas för att skapa och bevara vindskyddade födosöksmiljöer. Genom att binda samman befintliga skogsbestånd med korridorer av uppvuxen skog skapas ett fladdermusvänligt landskap (SLU Artdatabanken, 2024; Skogsstyrelsen, 2016).</w:t>
      </w:r>
    </w:p>
    <w:p>
      <w:pPr>
        <w:pStyle w:val="Heading2"/>
      </w:pPr>
      <w:r>
        <w:t>Referenser – dvärgpipistrell</w:t>
      </w:r>
    </w:p>
    <w:p>
      <w:r>
        <w:t xml:space="preserve">Skogsstyrelsen, 2016. </w:t>
      </w:r>
      <w:r>
        <w:rPr>
          <w:i/>
        </w:rPr>
        <w:t xml:space="preserve">Vägledning för hänsyn till pipistrell. </w:t>
      </w:r>
      <w:r>
        <w:t>Vägledningar och kunskapsstöd artskydd - Skogsstyrelsen</w:t>
      </w:r>
    </w:p>
    <w:p>
      <w:r>
        <w:t>SLU Artdatabanken, 2024.</w:t>
      </w:r>
      <w:r>
        <w:rPr>
          <w:i/>
        </w:rPr>
        <w:t xml:space="preserve">  Artfakta: dvärgpipistrell (Pipistrellus pygmaeus). </w:t>
      </w:r>
      <w:r>
        <w:t>https://artfakta.se/taxa/205995</w:t>
      </w:r>
    </w:p>
    <w:p>
      <w:r>
        <w:br w:type="page"/>
      </w:r>
    </w:p>
    <w:p>
      <w:pPr>
        <w:pStyle w:val="Title"/>
      </w:pPr>
      <w:r>
        <w:t>BILAGA 2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2" name="Picture 2"/>
            <wp:cNvGraphicFramePr>
              <a:graphicFrameLocks noChangeAspect="1"/>
            </wp:cNvGraphicFramePr>
            <a:graphic>
              <a:graphicData uri="http://schemas.openxmlformats.org/drawingml/2006/picture">
                <pic:pic>
                  <pic:nvPicPr>
                    <pic:cNvPr id="0" name="uppföljning av västlig taiga.jpeg"/>
                    <pic:cNvPicPr/>
                  </pic:nvPicPr>
                  <pic:blipFill>
                    <a:blip r:embed="rId17"/>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2026-06-26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