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28820-2025 i Halmstads kommun</w:t>
      </w:r>
    </w:p>
    <w:p>
      <w:r>
        <w:t>Detta dokument behandlar höga naturvärden i avverkningsanmälan A 28820-2025 i Halmstads kommun som inkom 2025-06-12 och omfattar 3,7 ha.</w:t>
      </w:r>
      <w:r>
        <w:t xml:space="preserve"> I Figur 1 visas fyndplatser för naturvårdsarter i området, som finns registrerade på Artportalen.</w:t>
      </w:r>
    </w:p>
    <w:p>
      <w:pPr>
        <w:pStyle w:val="Caption"/>
      </w:pPr>
      <w:r>
        <w:drawing>
          <wp:inline xmlns:a="http://schemas.openxmlformats.org/drawingml/2006/main" xmlns:pic="http://schemas.openxmlformats.org/drawingml/2006/picture">
            <wp:extent cx="5486400" cy="5104036"/>
            <wp:docPr id="1" name="Picture 1"/>
            <wp:cNvGraphicFramePr>
              <a:graphicFrameLocks noChangeAspect="1"/>
            </wp:cNvGraphicFramePr>
            <a:graphic>
              <a:graphicData uri="http://schemas.openxmlformats.org/drawingml/2006/picture">
                <pic:pic>
                  <pic:nvPicPr>
                    <pic:cNvPr id="0" name="A 28820-2025 karta.png"/>
                    <pic:cNvPicPr/>
                  </pic:nvPicPr>
                  <pic:blipFill>
                    <a:blip r:embed="rId16"/>
                    <a:stretch>
                      <a:fillRect/>
                    </a:stretch>
                  </pic:blipFill>
                  <pic:spPr>
                    <a:xfrm>
                      <a:off x="0" y="0"/>
                      <a:ext cx="5486400" cy="5104036"/>
                    </a:xfrm>
                    <a:prstGeom prst="rect"/>
                  </pic:spPr>
                </pic:pic>
              </a:graphicData>
            </a:graphic>
          </wp:inline>
        </w:drawing>
      </w:r>
    </w:p>
    <w:p>
      <w:pPr>
        <w:pStyle w:val="Caption"/>
        <w:spacing w:after="240"/>
      </w:pPr>
      <w:r>
        <w:t>Figur 1. Fyndplatser för naturvårdsarter i och inom 25 meter från avverkningsanmälan (röd linje). Inom parentes anges rödlistekategorier, S för signalarter, Tför typiska arter och fridlysningsparagrafer i artskyddsförordningen.Markörer utan svart kant är placerade på fyndplatsen. Markörer med svart kant är placerade vid sidan av fyndplatsen och har ett svart streck som visar fyndplatsens exakta position. Kartans mittpunktskoordinat är N 6286413, E 383794 i SWEREF 99 TM.</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och inom 25 meter från avverkningsanmälan har följande 7 naturvårdsarter hittats: entita (NT, T, §4), hasselticka (S, T), huvudlik svampklubba (S), skuggmossa (S, T), smal svampklubba (S), västlig hakmossa (S) och spillkråka (T, §4). Av dessa är 1 rödlistade. För rödlistade arter har rödlistekategorin angivits inom parentes. Arter som är signalarter enligt Skogsstyrelsen har markerats med (S). Typiska arter inom Natura 2000 som är kopplade till skogsekosystem har markerats med (T). För fridlysta arter anges även paragrafen i Artskyddsförordningen som arten är fridlyst enligt.</w:t>
      </w:r>
    </w:p>
    <w:p>
      <w:r>
        <w:t>De påträffade naturvårdsarterna är ett tydligt kvitto på att det rör sig om en skog med höga naturvärden.</w:t>
      </w:r>
    </w:p>
    <w:p>
      <w:pPr>
        <w:pStyle w:val="Heading2"/>
      </w:pPr>
      <w:r>
        <w:t>Fridlysta arter</w:t>
      </w:r>
    </w:p>
    <w:p>
      <w:r>
        <w:t>Följande fridlysta arter har sina livsmiljöer och växtplatser i den avverkningsanmälda skogen: entita (NT, T, §4) och spillkråka (T,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Entita (NT, §4)</w:t>
      </w:r>
      <w:r>
        <w:t xml:space="preserve">, rödlistad som nära hotad och prioriterad art i Skogsvårdslagen, har häckningsrevir i anmälan. Minskningstakten innevarande 10-årsperiod beräknas till 20 (10–30) % och bedöms vara nära gränsvärdet för Sårbar (VU).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Entita är typisk art för </w:t>
      </w:r>
      <w:r>
        <w:rPr>
          <w:i/>
        </w:rPr>
        <w:t>9080 Lövsumpskog</w:t>
      </w:r>
      <w:r>
        <w:t xml:space="preserve"> (Skogsstyrelsen, 2016, SLU Artdatabanken, 2021).</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t>I BILAGA 1 finns mer detaljerad information om ekologi samt krav på livsmiljö hos fridlysta arter.</w:t>
      </w:r>
    </w:p>
    <w:p>
      <w:pPr>
        <w:pStyle w:val="Heading2"/>
      </w:pPr>
      <w:r>
        <w:t>Övriga naturvårdsarter</w:t>
      </w:r>
    </w:p>
    <w:p>
      <w:r>
        <w:rPr>
          <w:b/>
        </w:rPr>
        <w:t>Hasselticka</w:t>
      </w:r>
      <w:r>
        <w:t xml:space="preserve"> är en bra signalart för lundar med höga naturvärden. På lokalerna förekommer ofta många andra ovanliga och rödlistade arter. Växtplatserna har normalt långvarig lövkontinuitet av hassel (ibland al). Den kräver dessutom att det successivt bildas, och i området kontinuerligt förekommit, en viss mängd döda stammar. Arten tycks saknas i sekundära och i sen tid uppkomna al- och hasselmarker om dessa inte ligger i direkt anslutning till äldre förekomster. Hasselticka är typisk art för </w:t>
      </w:r>
      <w:r>
        <w:rPr>
          <w:i/>
        </w:rPr>
        <w:t xml:space="preserve">9020 Nordlig ädellövskog </w:t>
      </w:r>
      <w:r>
        <w:t xml:space="preserve">och </w:t>
      </w:r>
      <w:r>
        <w:rPr>
          <w:i/>
        </w:rPr>
        <w:t xml:space="preserve">9160 Näringsrik ekskog </w:t>
      </w:r>
      <w:r>
        <w:t>(Nitare &amp; Skogsstyrelsen, 2019; SLU Artdatabanken, 2025).</w:t>
      </w:r>
    </w:p>
    <w:p>
      <w:r>
        <w:rPr>
          <w:b/>
        </w:rPr>
        <w:t xml:space="preserve">Skuggmossa </w:t>
      </w:r>
      <w:r>
        <w:t xml:space="preserve">förekommer främst i skuggiga och fuktiga granskogar med hög och jämn luftfuktighet och signalerar alltid skog med höga naturvärden. Skuggmossa är typisk art för </w:t>
      </w:r>
      <w:r>
        <w:rPr>
          <w:i/>
        </w:rPr>
        <w:t>9080 Lövsumpskog</w:t>
      </w:r>
      <w:r>
        <w:t xml:space="preserve"> (Nitare &amp; Skogsstyrelsen, 2019; SLU Artdatabanken, 2025).</w:t>
      </w:r>
    </w:p>
    <w:p>
      <w:r>
        <w:br w:type="page"/>
      </w:r>
    </w:p>
    <w:p>
      <w:pPr>
        <w:pStyle w:val="Title"/>
      </w:pPr>
      <w:r>
        <w:t>BILAGA 1 – Fridlysta arter</w:t>
      </w:r>
    </w:p>
    <w:p>
      <w:pPr>
        <w:pStyle w:val="Heading1"/>
      </w:pPr>
      <w:r>
        <w:t>Entita – ekologi samt krav på livsmiljön</w:t>
      </w:r>
    </w:p>
    <w:p>
      <w:r>
        <w:t xml:space="preserve">Entita (NT, §4) är rödlistad som nära hotad, fridlyst och prioriterad art enligt Skogsvårdslagen. Den omfattas av EU:s fågeldirektiv och är typisk art för </w:t>
      </w:r>
      <w:r>
        <w:rPr>
          <w:i/>
        </w:rPr>
        <w:t>9080 Lövsumpskog</w:t>
      </w:r>
      <w:r>
        <w:t>.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