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21622-2024 i Halmstads kommun</w:t>
      </w:r>
    </w:p>
    <w:p>
      <w:r>
        <w:t>Detta dokument behandlar höga naturvärden i avverkningsanmälan A 21622-2024 i Halmstads kommun. Denna avverkningsanmälan inkom 2024-05-30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barbastell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5713"/>
            <wp:docPr id="1" name="Picture 1"/>
            <wp:cNvGraphicFramePr>
              <a:graphicFrameLocks noChangeAspect="1"/>
            </wp:cNvGraphicFramePr>
            <a:graphic>
              <a:graphicData uri="http://schemas.openxmlformats.org/drawingml/2006/picture">
                <pic:pic>
                  <pic:nvPicPr>
                    <pic:cNvPr id="0" name="A 21622-2024 karta.png"/>
                    <pic:cNvPicPr/>
                  </pic:nvPicPr>
                  <pic:blipFill>
                    <a:blip r:embed="rId16"/>
                    <a:stretch>
                      <a:fillRect/>
                    </a:stretch>
                  </pic:blipFill>
                  <pic:spPr>
                    <a:xfrm>
                      <a:off x="0" y="0"/>
                      <a:ext cx="5486400" cy="50757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6301106, E 366403 i SWEREF 99 TM.</w:t>
      </w:r>
    </w:p>
    <w:p>
      <w:pPr>
        <w:pStyle w:val="Heading1"/>
      </w:pPr>
      <w:r>
        <w:t>Fridlysta arter</w:t>
      </w:r>
    </w:p>
    <w:p>
      <w:r>
        <w:t>Följande fridlysta arter har sina livsmiljöer och växtplatser i den avverkningsanmälda skogen: barbastell (NT, §4a).</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 https://www.naturvardsverket.se/om-oss/publikationer/6500/atgardsprogram-barbastell</w:t>
      </w:r>
    </w:p>
    <w:p>
      <w:r>
        <w:t xml:space="preserve">SLU Artdatabanken, 2024. </w:t>
      </w:r>
      <w:r>
        <w:rPr>
          <w:i/>
        </w:rPr>
        <w:t xml:space="preserve">Artfakta: barbastell (Barbastella barbastellus). </w:t>
      </w:r>
      <w:r>
        <w:t>https://artfakta.se/taxa/100015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