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5240-2025 i Halmstads kommun</w:t>
      </w:r>
    </w:p>
    <w:p>
      <w:r>
        <w:t>Detta dokument behandlar höga naturvärden i avverkningsanmälan A 5240-2025 i Halmstads kommun. Denna avverkningsanmälan inkom 2025-02-04 00:00:00 och omfattar 8,3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mussellav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1836"/>
            <wp:docPr id="1" name="Picture 1"/>
            <wp:cNvGraphicFramePr>
              <a:graphicFrameLocks noChangeAspect="1"/>
            </wp:cNvGraphicFramePr>
            <a:graphic>
              <a:graphicData uri="http://schemas.openxmlformats.org/drawingml/2006/picture">
                <pic:pic>
                  <pic:nvPicPr>
                    <pic:cNvPr id="0" name="A 5240-2025 karta.png"/>
                    <pic:cNvPicPr/>
                  </pic:nvPicPr>
                  <pic:blipFill>
                    <a:blip r:embed="rId16"/>
                    <a:stretch>
                      <a:fillRect/>
                    </a:stretch>
                  </pic:blipFill>
                  <pic:spPr>
                    <a:xfrm>
                      <a:off x="0" y="0"/>
                      <a:ext cx="5486400" cy="2731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6297754, E 365622 i SWEREF 99 TM.</w:t>
      </w:r>
    </w:p>
    <w:p>
      <w:r>
        <w:rPr>
          <w:b/>
        </w:rPr>
        <w:t>Mussellav</w:t>
      </w:r>
      <w:r>
        <w:t xml:space="preserve"> förekommer främst i halvöppna ek- och bokskogar i bergsluttningar och raviner i områden med hög luftfuktighet och hög nederbörd. I norra Sverige växer den enbart i klippbranter med gammal barrskog och hög luftfuktighet. Avverkning av värdträden samt varje slag av förändringar som kan påverka fuktighetsförhållandena på växtplatserna innebär ett hot. Lokaler med rika förekomster av mussellav och andra suboceaniska lavar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