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1919-2024 i Halmstads kommun</w:t>
      </w:r>
    </w:p>
    <w:p>
      <w:r>
        <w:t>Detta klagomål behandlar höga naturvärden i samrådsanmälan S 1919-2024 i Halmstads kommun som inkom 2024-05-30 och omfattar 105,5 ha.</w:t>
      </w:r>
    </w:p>
    <w:p>
      <w:pPr>
        <w:pStyle w:val="Caption"/>
      </w:pPr>
      <w:r>
        <w:drawing>
          <wp:inline xmlns:a="http://schemas.openxmlformats.org/drawingml/2006/main" xmlns:pic="http://schemas.openxmlformats.org/drawingml/2006/picture">
            <wp:extent cx="4622474" cy="5724000"/>
            <wp:docPr id="1" name="Picture 1"/>
            <wp:cNvGraphicFramePr>
              <a:graphicFrameLocks noChangeAspect="1"/>
            </wp:cNvGraphicFramePr>
            <a:graphic>
              <a:graphicData uri="http://schemas.openxmlformats.org/drawingml/2006/picture">
                <pic:pic>
                  <pic:nvPicPr>
                    <pic:cNvPr id="0" name="S 1919-2024 karta.png"/>
                    <pic:cNvPicPr/>
                  </pic:nvPicPr>
                  <pic:blipFill>
                    <a:blip r:embed="rId16"/>
                    <a:stretch>
                      <a:fillRect/>
                    </a:stretch>
                  </pic:blipFill>
                  <pic:spPr>
                    <a:xfrm>
                      <a:off x="0" y="0"/>
                      <a:ext cx="4622474"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6293632, E 374037 i SWEREF 99 TM.</w:t>
      </w:r>
    </w:p>
    <w:p>
      <w:r>
        <w:t>I och inom 17 meter från samrådsanmälan finns fynd av 5 naturvårdsarter, varav 3 är rödlistade, 1 är fridlyst, 1 är typisk (T) och 1 är signalart (S): bohuslind (CR), igelkott (VU), hårginst (NT), kambräken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