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40045-2025 i Halmstads kommun</w:t>
      </w:r>
    </w:p>
    <w:p>
      <w:r>
        <w:t>Denna tillsynsbegäran behandlar höga naturvärden i avverkningsanmälan A 40045-2025 i Halmstads kommun som inkom 2025-08-25 och omfattar 1,4 ha.</w:t>
      </w:r>
    </w:p>
    <w:p>
      <w:pPr>
        <w:pStyle w:val="Caption"/>
      </w:pPr>
      <w:r>
        <w:drawing>
          <wp:inline xmlns:a="http://schemas.openxmlformats.org/drawingml/2006/main" xmlns:pic="http://schemas.openxmlformats.org/drawingml/2006/picture">
            <wp:extent cx="5486400" cy="5324259"/>
            <wp:docPr id="1" name="Picture 1"/>
            <wp:cNvGraphicFramePr>
              <a:graphicFrameLocks noChangeAspect="1"/>
            </wp:cNvGraphicFramePr>
            <a:graphic>
              <a:graphicData uri="http://schemas.openxmlformats.org/drawingml/2006/picture">
                <pic:pic>
                  <pic:nvPicPr>
                    <pic:cNvPr id="0" name="A 40045-2025 karta.png"/>
                    <pic:cNvPicPr/>
                  </pic:nvPicPr>
                  <pic:blipFill>
                    <a:blip r:embed="rId16"/>
                    <a:stretch>
                      <a:fillRect/>
                    </a:stretch>
                  </pic:blipFill>
                  <pic:spPr>
                    <a:xfrm>
                      <a:off x="0" y="0"/>
                      <a:ext cx="5486400" cy="5324259"/>
                    </a:xfrm>
                    <a:prstGeom prst="rect"/>
                  </pic:spPr>
                </pic:pic>
              </a:graphicData>
            </a:graphic>
          </wp:inline>
        </w:drawing>
      </w:r>
    </w:p>
    <w:p>
      <w:pPr>
        <w:pStyle w:val="Caption"/>
        <w:spacing w:after="240"/>
      </w:pPr>
      <w:r>
        <w:t>Figur 1. Fyndplatser för naturvårdsarter i och inom 12 meter från avverkningsanmälan. Markörer utan svart kant är placerade på fyndplatsen. Markörer med svart kant är placerade vid sidan av fyndplatsen och har ett svart streck som visar fyndplatsens exakta position. Kartans mittpunktskoordinat är N 6300893, E 368033 i SWEREF 99 TM.</w:t>
      </w:r>
    </w:p>
    <w:p>
      <w:r>
        <w:t>I och inom 12 meter från avverkningsanmälan finns fynd av 2 naturvårdsarter, varav 2 är typiska (T) och 2 är signalarter (S): kambräken (S, T) och platt fjädermossa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Kambräken</w:t>
      </w:r>
      <w:r>
        <w:t xml:space="preserve"> är i mellersta och östra Sverige en bra signalart som indikerar fuktiga skogsmiljöer med höga naturvärden. Ofta rör det sig om reliktförekomster i kontinuitetsskogar på källpåverkade marker och marker med ytligt rörligt markvatten. Växten är i mellersta och östra Sverige starkt känslig för avverkning som kan medföra ökad frostrisk på växtplatsen liksom alla former av markavvattning och körskador. Kambräken är typisk art för </w:t>
      </w:r>
      <w:r>
        <w:rPr>
          <w:i/>
        </w:rPr>
        <w:t xml:space="preserve">9040 Fjällbjörkskog </w:t>
      </w:r>
      <w:r>
        <w:t xml:space="preserve">och </w:t>
      </w:r>
      <w:r>
        <w:rPr>
          <w:i/>
        </w:rPr>
        <w:t>7160 Källor och källkärr</w:t>
      </w:r>
      <w:r>
        <w:t xml:space="preserve"> (Nitare &amp; Skogsstyrelsen, 2019; SLU Artdatabanken, 2025).</w:t>
      </w:r>
    </w:p>
    <w:p>
      <w:r>
        <w:rPr>
          <w:b/>
        </w:rPr>
        <w:t xml:space="preserve">Platt fjädermossa </w:t>
      </w:r>
      <w:r>
        <w:t>växer på såväl trädstammar (särskilt bok och andra ädla lövträd) som klippor (helst basiska bergarter). Norrut förekommer den endast på basiska klippor. Rika förekomster och fynd med sporkapslar indikerar höga naturvärden och en artrik mossbiotop.</w:t>
      </w:r>
      <w:r>
        <w:rPr>
          <w:b/>
        </w:rPr>
        <w:t xml:space="preserve"> </w:t>
      </w:r>
      <w:r>
        <w:t xml:space="preserve">Platt fjädermossa är typisk art för </w:t>
      </w:r>
      <w:r>
        <w:rPr>
          <w:i/>
        </w:rPr>
        <w:t>9010 Taiga,</w:t>
      </w:r>
      <w:r>
        <w:t xml:space="preserve"> </w:t>
      </w:r>
      <w:r>
        <w:rPr>
          <w:i/>
        </w:rPr>
        <w:t>9020 Nordlig ädellövskog, 9110 Näringsfattig bokskog, 9130 Näringsrik bokskog, 9160 Näringsrik ekskog, 9180 Ädellövskog i branter</w:t>
      </w:r>
      <w:r>
        <w:t xml:space="preserve"> och</w:t>
      </w:r>
      <w:r>
        <w:rPr>
          <w:i/>
        </w:rPr>
        <w:t xml:space="preserve"> 9190 Näringsfattig ekskog </w:t>
      </w:r>
      <w:r>
        <w:t>(Nitare &amp; Skogsstyrelsen, 2019; 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