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49151-2024 i Halmstads kommun</w:t>
      </w:r>
    </w:p>
    <w:p>
      <w:r>
        <w:t>Denna tillsynsbegäran behandlar höga naturvärden i avverkningsanmälan A 49151-2024 i Halmstads kommun som inkom 2024-10-29 och omfattar 0,5 ha.</w:t>
      </w:r>
    </w:p>
    <w:p>
      <w:pPr>
        <w:pStyle w:val="Caption"/>
      </w:pPr>
      <w:r>
        <w:drawing>
          <wp:inline xmlns:a="http://schemas.openxmlformats.org/drawingml/2006/main" xmlns:pic="http://schemas.openxmlformats.org/drawingml/2006/picture">
            <wp:extent cx="5486400" cy="5148476"/>
            <wp:docPr id="1" name="Picture 1"/>
            <wp:cNvGraphicFramePr>
              <a:graphicFrameLocks noChangeAspect="1"/>
            </wp:cNvGraphicFramePr>
            <a:graphic>
              <a:graphicData uri="http://schemas.openxmlformats.org/drawingml/2006/picture">
                <pic:pic>
                  <pic:nvPicPr>
                    <pic:cNvPr id="0" name="A 49151-2024 karta.png"/>
                    <pic:cNvPicPr/>
                  </pic:nvPicPr>
                  <pic:blipFill>
                    <a:blip r:embed="rId16"/>
                    <a:stretch>
                      <a:fillRect/>
                    </a:stretch>
                  </pic:blipFill>
                  <pic:spPr>
                    <a:xfrm>
                      <a:off x="0" y="0"/>
                      <a:ext cx="5486400" cy="514847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6295449, E 384413 i SWEREF 99 TM.</w:t>
      </w:r>
    </w:p>
    <w:p>
      <w:r>
        <w:t>I och inom 24 meter från avverkningsanmälan finns fynd av 12 naturvårdsarter, varav 2 är rödlistade, 5 är fridlysta, 6 är typiska (T) och 6 är signalarter (S): pulverädellav (VU), nordfladdermus (NT, §4a), guldlockmossa (S, T), gulnål (S, T), jättesvampmal (S), klippfrullania (S, T), skuggmossa (S, T), trädporella (S, T), spillkråka (T, §4), dvärgpipistrell (§4a),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Pulverädellav (VU)</w:t>
      </w:r>
      <w:r>
        <w:t xml:space="preserve"> är en suboceanisk art som förekommer i södra delarna av landet. Den växer främst på ek, men även på alm, ask, asp, klibbal och rönn i blandskog. Arten är beroende av hög luftfuktighet och förekommer på lokaler med höga naturvärden. Aktivt skogsbruk bör undvikas i nära anslutning till dessa platser. Speciellt viktigt är att fuktighetsförhållandena inte ändras genom t.ex. dikning. Rikliga lokaler bör skyddas (SLU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guldlockmossa (S, T), gulnål (S, T), klippfrullania (S, T), skuggmossa (S, T), trädporella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