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1587-2026 i Laholms kommun</w:t>
      </w:r>
    </w:p>
    <w:p>
      <w:r>
        <w:t>Denna tillsynsbegäran behandlar höga naturvärden i samrådsanmälan S 1587-2026 i Laholms kommun som inkom 2026-05-29 och omfattar 9,3 ha.</w:t>
      </w:r>
    </w:p>
    <w:p>
      <w:pPr>
        <w:pStyle w:val="Caption"/>
      </w:pPr>
      <w:r>
        <w:drawing>
          <wp:inline xmlns:a="http://schemas.openxmlformats.org/drawingml/2006/main" xmlns:pic="http://schemas.openxmlformats.org/drawingml/2006/picture">
            <wp:extent cx="5241296" cy="5724000"/>
            <wp:docPr id="1" name="Picture 1"/>
            <wp:cNvGraphicFramePr>
              <a:graphicFrameLocks noChangeAspect="1"/>
            </wp:cNvGraphicFramePr>
            <a:graphic>
              <a:graphicData uri="http://schemas.openxmlformats.org/drawingml/2006/picture">
                <pic:pic>
                  <pic:nvPicPr>
                    <pic:cNvPr id="0" name="S 1587-2026 karta.png"/>
                    <pic:cNvPicPr/>
                  </pic:nvPicPr>
                  <pic:blipFill>
                    <a:blip r:embed="rId16"/>
                    <a:stretch>
                      <a:fillRect/>
                    </a:stretch>
                  </pic:blipFill>
                  <pic:spPr>
                    <a:xfrm>
                      <a:off x="0" y="0"/>
                      <a:ext cx="524129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6270337, E 398853 i SWEREF 99 TM.</w:t>
      </w:r>
    </w:p>
    <w:p>
      <w:r>
        <w:t>I samrådsanmälan finns fynd av 14 naturvårdsarter, varav 4 är rödlistade, 11 är typiska (T) och 10 är signalarter (S): bokkantlav (NT, T), bokvårtlav (NT, T), liten lundlav (NT), violettgrå porlav (NT), blåsfliksmossa (S, T), bokfjädermossa (S, T), fällmossa (S, T), havstulpanlav (S, T), platt fjädermossa (S, T), rikfruktig blemlav (S), Scytinium lichenoides s.lat. (S, T), stor knopplav (S, T), trädporella (S, T) och västlig husmossa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 xml:space="preserve">Liten lundlav (NT) </w:t>
      </w:r>
      <w:r>
        <w:t>växer i Syd- och Mellansverige i gamla ädellövskogar med lång trädkontinuitet, främst på bok. Oftast på gamla senvuxna träd med grov och sprucken bark. Arten påverkas negativt av brist på kontinuitetsskog och lämpliga träd nyskapas i mycket begränsad omfattning. Minskningstakten uppgår till 15 (10–25) % inom 50 år och bedöms vara nära gränsvärdet för sårbar (VU) (SLU Artdatabanken, 2026).</w:t>
      </w:r>
    </w:p>
    <w:p>
      <w:r>
        <w:rPr>
          <w:b/>
        </w:rPr>
        <w:t>Violettgrå porlav (NT)</w:t>
      </w:r>
      <w:r>
        <w:t xml:space="preserve"> växer företrädesvis på stammar och grövre grenar av bok, men den förekommer även rätt ofta på tunna grenar av ek i hedekskog. Enstaka nutida fynd har även gjorts på klibbal, björk, hassel, avenbok, lind och rönn. Lokalerna utgörs oftast av gammal, sluten till halvöppen bokskog, men flera fynd är även gjorda i hedekskog. Kalavverkning utgör ett hot liksom ett stort inslag av gran i bokskogen. Åtminstone de rikligaste lokalerna bör skyddas (SLU Artdatabanken, 2026).</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Stor knopplav</w:t>
      </w:r>
      <w:r>
        <w:t xml:space="preserve"> är en mycket bra signalart som överallt är knuten till fuktig ädellövskog med höga naturvärden där bestånden har lång kontinuitet av grova ädellövträd. Lokaler med rika bestånd av stor knopplav bör få biotopskydd. Stor knopplav är typisk art för </w:t>
      </w:r>
      <w:r>
        <w:rPr>
          <w:i/>
        </w:rPr>
        <w:t>9110 Näringsfattig bokskog</w:t>
      </w:r>
      <w:r>
        <w:t xml:space="preserve"> (SLU Artdatabanken, 2024; Nitare &amp; Skogsstyrelsen, 2019).</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Västlig husmossa </w:t>
      </w:r>
      <w:r>
        <w:t xml:space="preserve">signalerar skog med höga naturvärden. Den indikerar lång kontinuitet av ädellövskog och ofta är det fråga om urskogsartade ädellövskogsbiotoper där det förekommer ett flertal andra rödlistade arter. Den är placerad högst upp i Skogsstyrelsens värdepyramid för bedömning av skog med höga naturvärden och alla fynd av arten bör uppmärksammas, beläggas och rapporteras. Västlig husmossa är typisk art för </w:t>
      </w:r>
      <w:r>
        <w:rPr>
          <w:i/>
        </w:rPr>
        <w:t>9130 Näringsrik bokskog</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bokkantlav (NT, T), bokvårtlav (NT, T), blåsfliksmossa (S, T), bokfjädermossa (S, T), fällmossa (S, T), havstulpanlav (S, T), platt fjädermossa (S, T), Scytinium lichenoides s.lat. (S, T), stor knopplav (S, T), trädporella (S, T) och västlig husmossa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