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8912-2026 i Laholms kommun</w:t>
      </w:r>
    </w:p>
    <w:p>
      <w:r>
        <w:t>Denna tillsynsbegäran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6261880, E 391455 i SWEREF 99 TM.</w:t>
      </w:r>
    </w:p>
    <w:p>
      <w:r>
        <w:t>I och inom 17 meter från avverkningsanmälan finns fynd av 7 naturvårdsarter, varav 4 är rödlistade, 5 är typiska (T) och 3 är signalarter (S): boktaggsvamp (VU), bokkantlav (NT, T), bokvårtlav (NT, T), Phellodon frondosoniger (NT), fällmossa (S, T), kambräken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Boktaggsvamp (VU) </w:t>
      </w:r>
      <w:r>
        <w:t>bildar mykorrhiza med bok på kalkrik mark i äldre ädellövskog, främst i glesa, örtrika bokskogar med lång trädkontinuitet. Den nationella populationen är liten och bedöms ha minskat sedan 1970-talet till följd av slutavverkning av äldre bokskog. Arten påverkas negativt av brist på kontinuitetsskog och en minskning av populationen pågår eller förväntas ske. Arten är placerad i toppen på Skogsstyrelsens värdepyramid för bedömning av skog med höga naturvärden (SLU Artdatabanken, 2026;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kambräken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