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1180-2026 i Laholms kommun</w:t>
      </w:r>
    </w:p>
    <w:p>
      <w:r>
        <w:t>Detta klagomål behandlar höga naturvärden i samrådsanmälan S 1180-2026 i Laholms kommun som inkom 2026-04-24 och omfattar 7,8 ha.</w:t>
      </w:r>
    </w:p>
    <w:p>
      <w:pPr>
        <w:pStyle w:val="Caption"/>
      </w:pPr>
      <w:r>
        <w:drawing>
          <wp:inline xmlns:a="http://schemas.openxmlformats.org/drawingml/2006/main" xmlns:pic="http://schemas.openxmlformats.org/drawingml/2006/picture">
            <wp:extent cx="5486400" cy="5075041"/>
            <wp:docPr id="1" name="Picture 1"/>
            <wp:cNvGraphicFramePr>
              <a:graphicFrameLocks noChangeAspect="1"/>
            </wp:cNvGraphicFramePr>
            <a:graphic>
              <a:graphicData uri="http://schemas.openxmlformats.org/drawingml/2006/picture">
                <pic:pic>
                  <pic:nvPicPr>
                    <pic:cNvPr id="0" name="S 1180-2026 karta.png"/>
                    <pic:cNvPicPr/>
                  </pic:nvPicPr>
                  <pic:blipFill>
                    <a:blip r:embed="rId16"/>
                    <a:stretch>
                      <a:fillRect/>
                    </a:stretch>
                  </pic:blipFill>
                  <pic:spPr>
                    <a:xfrm>
                      <a:off x="0" y="0"/>
                      <a:ext cx="5486400" cy="5075041"/>
                    </a:xfrm>
                    <a:prstGeom prst="rect"/>
                  </pic:spPr>
                </pic:pic>
              </a:graphicData>
            </a:graphic>
          </wp:inline>
        </w:drawing>
      </w:r>
    </w:p>
    <w:p>
      <w:pPr>
        <w:pStyle w:val="Caption"/>
        <w:spacing w:after="240"/>
      </w:pPr>
      <w:r>
        <w:t>Figur 1. Fyndplatser för naturvårdsarter i och inom 5 meter från samrådsanmälan. Markörer utan svart kant är placerade på fyndplatsen. Markörer med svart kant är placerade vid sidan av fyndplatsen och har ett svart streck som visar fyndplatsens exakta position. Kartans mittpunktskoordinat är N 6272884, E 397243 i SWEREF 99 TM.</w:t>
      </w:r>
    </w:p>
    <w:p>
      <w:r>
        <w:t>I och inom 5 meter från samrådsanmälan finns fynd av 12 naturvårdsarter, varav 1 är rödlistad, 12 är typiska (T) och 11 är signalarter (S): bokkantlav (NT, T), barkkornlav (S, T), bokfjädermossa (S, T), fällmossa (S, T), guldlockmossa (S, T), gulnål (S, T), havstulpanlav (S, T), mussellav (S, T), mörk husmossa (S, T), platt fjädermossa (S, T), stor knopplav (S, T) och trädporella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Bokkantlav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Bokfjädermossa</w:t>
      </w:r>
      <w:r>
        <w:t xml:space="preserve"> växer främst i sluten bokskog på grova bokstammar. Arten är placerad högst upp i Skogsstyrelsens värdepyramid för bedömning av skog med höga naturvärden och signalerar överallt skogsmiljöer med höga naturvärden. Samtliga aktuella lokaler bör skyddas mot avverkning. Bokfjädermossa är typisk art för </w:t>
      </w:r>
      <w:r>
        <w:rPr>
          <w:i/>
        </w:rPr>
        <w:t xml:space="preserve">9020 Nordlig ädellövskog, 9110 Näringsfattig bokskog, 9130 Näringsrik bokskog, 9180 Ädellövskog i branter, 9160 Näringsrik ekskog </w:t>
      </w:r>
      <w:r>
        <w:t>och</w:t>
      </w:r>
      <w:r>
        <w:rPr>
          <w:i/>
        </w:rPr>
        <w:t xml:space="preserve"> 9190 Näringsfattig ekskog</w:t>
      </w:r>
      <w:r>
        <w:t xml:space="preserve">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Mussellav</w:t>
      </w:r>
      <w:r>
        <w:t xml:space="preserve"> förekommer främst i halvöppna ek- och bokskogar i bergsluttningar och raviner i områden med hög luftfuktighet och hög nederbörd. I norra Sverige växer den enbart i klippbranter med gammal barrskog och hög luftfuktighet. Avverkning av värdträden samt varje slag av förändringar som kan påverka fuktighetsförhållandena på växtplatserna innebär ett hot. Lokaler med rika förekomster av mussellav och andra suboceaniska lavar bör skyddas. Mussellav är typisk art för </w:t>
      </w:r>
      <w:r>
        <w:rPr>
          <w:i/>
        </w:rPr>
        <w:t xml:space="preserve">9110 Näringsfattig bokskog, 9130 Näringsrik bokskog, 9160 Näringsrik ekskog, 9180 Ädellövskog i branter </w:t>
      </w:r>
      <w:r>
        <w:t>och</w:t>
      </w:r>
      <w:r>
        <w:rPr>
          <w:i/>
        </w:rPr>
        <w:t xml:space="preserve"> 9190 Näringsfattig ekskog </w:t>
      </w:r>
      <w:r>
        <w:t>(SLU Artdatabanken, 2024).</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Stor knopplav</w:t>
      </w:r>
      <w:r>
        <w:t xml:space="preserve"> är en mycket bra signalart som överallt är knuten till fuktig ädellövskog med höga naturvärden där bestånden har lång kontinuitet av grova ädellövträd. Lokaler med rika bestånd av stor knopplav bör få biotopskydd. Stor knopplav är typisk art för </w:t>
      </w:r>
      <w:r>
        <w:rPr>
          <w:i/>
        </w:rPr>
        <w:t>9110 Näringsfattig bokskog</w:t>
      </w:r>
      <w:r>
        <w:t xml:space="preserve"> (SLU Artdatabanken, 2024; Nitare &amp; Skogsstyrelsen, 2019).</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