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33477-2026 i Falkenbergs kommun</w:t>
      </w:r>
    </w:p>
    <w:p>
      <w:r>
        <w:t>Denna tillsynsbegäran behandlar höga naturvärden i avverkningsanmälan A 33477-2026 i Falkenbergs kommun som inkom 2026-08-13 och omfattar 1,4 ha.</w:t>
      </w:r>
    </w:p>
    <w:p>
      <w:pPr>
        <w:pStyle w:val="Caption"/>
      </w:pPr>
      <w:r>
        <w:drawing>
          <wp:inline xmlns:a="http://schemas.openxmlformats.org/drawingml/2006/main" xmlns:pic="http://schemas.openxmlformats.org/drawingml/2006/picture">
            <wp:extent cx="5142587" cy="5724000"/>
            <wp:docPr id="1" name="Picture 1"/>
            <wp:cNvGraphicFramePr>
              <a:graphicFrameLocks noChangeAspect="1"/>
            </wp:cNvGraphicFramePr>
            <a:graphic>
              <a:graphicData uri="http://schemas.openxmlformats.org/drawingml/2006/picture">
                <pic:pic>
                  <pic:nvPicPr>
                    <pic:cNvPr id="0" name="A 33477-2026 karta.png"/>
                    <pic:cNvPicPr/>
                  </pic:nvPicPr>
                  <pic:blipFill>
                    <a:blip r:embed="rId16"/>
                    <a:stretch>
                      <a:fillRect/>
                    </a:stretch>
                  </pic:blipFill>
                  <pic:spPr>
                    <a:xfrm>
                      <a:off x="0" y="0"/>
                      <a:ext cx="5142587"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6331989, E 354115 i SWEREF 99 TM.</w:t>
      </w:r>
    </w:p>
    <w:p>
      <w:r>
        <w:t>I och inom 11 meter från avverkningsanmälan finns fynd av 14 naturvårdsarter, varav 4 är rödlistade, 3 är fridlysta, 11 är typiska (T) och 8 är signalarter (S): röd pysslinglav (VU), ädelkronlav (VU), bokvårtlav (NT, T), entita (NT, T, §4), barkkornlav (S, T), bokfjädermossa (S, T), fällmossa (S, T), guldlockmossa (S, T), havstulpanlav (S, T), klippfrullania (S, T), mussellav (S, T), platt fjädermossa (S, T), tofsmes (T, §4)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Röd pysslinglav (VU)</w:t>
      </w:r>
      <w:r>
        <w:t xml:space="preserve"> förekommer huvudsakligen på mycket gamla bokar i skogar med lång trädkontinuitet och hög luftfuktighet, men fynd finns även på bl.a. ek och lind. I Härjedalen växer den på en rönn. Värdträdens bark är tämligen grov och skrovlig. Lokalerna ligger alla i mycket skyddsvärda skogar med lång trädkontinuitet, hög luftfuktighet och med många andra rödlistade lavar. Denna typ av skogar nyskapas i princip inte alls. Bevara gammal bokskog och även skog som idag inte har kontinuitet men på lång sikt kommer att få det (SLU Artdatabanken, 2026).</w:t>
      </w:r>
    </w:p>
    <w:p>
      <w:r>
        <w:rPr>
          <w:b/>
        </w:rPr>
        <w:t>Ädelkronlav (VU)</w:t>
      </w:r>
      <w:r>
        <w:t xml:space="preserve"> är en mycket sällsynt, suboceanisk art som förekommer i gamla och fuktiga ädellövskogar i halvöppna eller slutna miljöer, helst gammal bokskog. Många växtplatser är belägna i bergbranter, raviner eller bäckdalar och ofta nära vatten. Arten är placerad högst upp i Skogsstyrelsens värdepyramid för bedömning av skog med höga naturvärden och finns bara i områden med särskilt höga naturvärden. Arten försvinner eller missgynnas starkt vid all form av avverkning på eller i direkt anslutning till lokalerna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Mussellav</w:t>
      </w:r>
      <w:r>
        <w:t xml:space="preserve"> förekommer främst i halvöppna ek- och bokskogar i bergsluttningar och raviner i områden med hög luftfuktighet och hög nederbörd. I norra Sverige växer den enbart i klippbranter med gammal barrskog och hög luftfuktighet. Avverkning av värdträden samt varje slag av förändringar som kan påverka fuktighetsförhållandena på växtplatserna innebär ett hot. Lokaler med rika förekomster av mussellav och andra suboceaniska lavar bör skyddas. Mussellav är typisk art för </w:t>
      </w:r>
      <w:r>
        <w:rPr>
          <w:i/>
        </w:rPr>
        <w:t xml:space="preserve">9110 Näringsfattig bokskog, 9130 Näringsrik bokskog, 9160 Näringsrik ekskog, 9180 Ädellövskog i branter </w:t>
      </w:r>
      <w:r>
        <w:t>och</w:t>
      </w:r>
      <w:r>
        <w:rPr>
          <w:i/>
        </w:rPr>
        <w:t xml:space="preserve"> 9190 Näringsfattig ekskog </w:t>
      </w:r>
      <w:r>
        <w:t>(SLU Artdatabanken, 2024).</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bokvårtlav (NT, T), entita (NT, T, §4), barkkornlav (S, T), bokfjädermossa (S, T), fällmossa (S, T), guldlockmossa (S, T), havstulpanlav (S, T), klippfrullania (S, T), mussellav (S, T), platt fjädermossa (S,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