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5005-2022 i Falkenbergs kommun</w:t>
      </w:r>
    </w:p>
    <w:p>
      <w:r>
        <w:t>Denna tillsynsbegäran behandlar höga naturvärden i avverkningsanmälan A 5005-2022 i Falkenbergs kommun som inkom 2022-02-01 och omfattar 4,1 ha.</w:t>
      </w:r>
    </w:p>
    <w:p>
      <w:pPr>
        <w:pStyle w:val="Caption"/>
      </w:pPr>
      <w:r>
        <w:drawing>
          <wp:inline xmlns:a="http://schemas.openxmlformats.org/drawingml/2006/main" xmlns:pic="http://schemas.openxmlformats.org/drawingml/2006/picture">
            <wp:extent cx="5299663" cy="5724000"/>
            <wp:docPr id="1" name="Picture 1"/>
            <wp:cNvGraphicFramePr>
              <a:graphicFrameLocks noChangeAspect="1"/>
            </wp:cNvGraphicFramePr>
            <a:graphic>
              <a:graphicData uri="http://schemas.openxmlformats.org/drawingml/2006/picture">
                <pic:pic>
                  <pic:nvPicPr>
                    <pic:cNvPr id="0" name="A 5005-2022 karta.png"/>
                    <pic:cNvPicPr/>
                  </pic:nvPicPr>
                  <pic:blipFill>
                    <a:blip r:embed="rId16"/>
                    <a:stretch>
                      <a:fillRect/>
                    </a:stretch>
                  </pic:blipFill>
                  <pic:spPr>
                    <a:xfrm>
                      <a:off x="0" y="0"/>
                      <a:ext cx="5299663"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6333271, E 363414 i SWEREF 99 TM.</w:t>
      </w:r>
    </w:p>
    <w:p>
      <w:r>
        <w:t>I och inom 21 meter från avverkningsanmälan finns fynd av 9 naturvårdsarter, varav 2 är rödlistade, 2 är fridlysta, 6 är typiska (T) och 5 är signalarter (S): vedlavklubba (VU), grynig filtlav (NT, T), blåsfliksmossa (S, T), fällmossa (S, T), jättesvampmal (S), klippfrullania (S, T), stubbspretmossa (S, T), spillkråka (T, §4) och gröngöling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Vedlavklubba (VU)</w:t>
      </w:r>
      <w:r>
        <w:t xml:space="preserve"> är en sällsynt art som växer på lågor av lövträd, helst asp och bok. Den förekommer huvudsakligen i skogsmiljöer med rik tillgång på grov död och ved, oftast i skogar med hög luftfuktighet som inte har kalavverkats. Svampen är sannolikt mycket känslig för all form av avverkning eller dränering som medför att växtplatsen får ett torrare mikroklimat (SLU Artdatabanken, 2024; Nitare &amp; Skogsstyrelsen, 2019).</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Blåsfliksmossa </w:t>
      </w:r>
      <w:r>
        <w:t xml:space="preserve">växer i skuggiga och fuktiga miljöer på klippor och stenar av såväl grönsten som silikat, till exempel intill naturliga skogsbäckar, i raviner och bergbranter. Den signalerar höga naturvärden främst i östra och norra Sverige och indikerar miljöer med jämn och hög luftfuktighet och ett basiskt underlag. Artens lokaler har ofta hög artrikedom. Blåsfliksmossa är typisk art för </w:t>
      </w:r>
      <w:r>
        <w:rPr>
          <w:i/>
        </w:rPr>
        <w:t>9080 Lövsumpskog</w:t>
      </w:r>
      <w:r>
        <w:t xml:space="preserve"> (SLU Artdatabanken, 2025;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grynig filtlav (NT, T), blåsfliksmossa (S, T), fällmossa (S, T), klippfrullania (S, T), stubbspretmossa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