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2202-2026 i Falkenbergs kommun</w:t>
      </w:r>
    </w:p>
    <w:p>
      <w:r>
        <w:t>Denna tillsynsbegäran behandlar höga naturvärden i samrådsanmälan S 2202-2026 i Falkenbergs kommun som inkom 2026-08-21 och omfattar 1,4 ha.</w:t>
      </w:r>
    </w:p>
    <w:p>
      <w:pPr>
        <w:pStyle w:val="Caption"/>
      </w:pPr>
      <w:r>
        <w:drawing>
          <wp:inline xmlns:a="http://schemas.openxmlformats.org/drawingml/2006/main" xmlns:pic="http://schemas.openxmlformats.org/drawingml/2006/picture">
            <wp:extent cx="5486400" cy="4549850"/>
            <wp:docPr id="1" name="Picture 1"/>
            <wp:cNvGraphicFramePr>
              <a:graphicFrameLocks noChangeAspect="1"/>
            </wp:cNvGraphicFramePr>
            <a:graphic>
              <a:graphicData uri="http://schemas.openxmlformats.org/drawingml/2006/picture">
                <pic:pic>
                  <pic:nvPicPr>
                    <pic:cNvPr id="0" name="S 2202-2026 karta.png"/>
                    <pic:cNvPicPr/>
                  </pic:nvPicPr>
                  <pic:blipFill>
                    <a:blip r:embed="rId16"/>
                    <a:stretch>
                      <a:fillRect/>
                    </a:stretch>
                  </pic:blipFill>
                  <pic:spPr>
                    <a:xfrm>
                      <a:off x="0" y="0"/>
                      <a:ext cx="5486400" cy="4549850"/>
                    </a:xfrm>
                    <a:prstGeom prst="rect"/>
                  </pic:spPr>
                </pic:pic>
              </a:graphicData>
            </a:graphic>
          </wp:inline>
        </w:drawing>
      </w:r>
    </w:p>
    <w:p>
      <w:pPr>
        <w:pStyle w:val="Caption"/>
        <w:spacing w:after="240"/>
      </w:pPr>
      <w:r>
        <w:t>Figur 1. Fyndplatser för naturvårdsarter i och inom 14 meter från samrådsanmälan. Markörer utan svart kant är placerade på fyndplatsen. Markörer med svart kant är placerade vid sidan av fyndplatsen och har ett svart streck som visar fyndplatsens exakta position. Kartans mittpunktskoordinat är N 6331932, E 353997 i SWEREF 99 TM.</w:t>
      </w:r>
    </w:p>
    <w:p>
      <w:r>
        <w:t>I och inom 14 meter från samrådsanmälan finns fynd av 10 naturvårdsarter, varav 2 är rödlistade, 1 är fridlyst, 9 är typiska (T) och 7 är signalarter (S): bokvårtlav (NT, T), koralltaggsvamp (NT, T), barkkornlav (S, T), bokfjädermossa (S, T), fällmossa (S, T), guldlockmossa (S, T), gulnål (S, T), havstulpanlav (S, T), platt fjädermossa (S, T) och äkta lopplummer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Bokfjädermossa</w:t>
      </w:r>
      <w:r>
        <w:t xml:space="preserve"> växer främst i sluten bokskog på grova bokstammar. Arten är placerad högst upp i Skogsstyrelsens värdepyramid för bedömning av skog med höga naturvärden och signalerar överallt skogsmiljöer med höga naturvärden. Samtliga aktuella lokaler bör skyddas mot avverkning. Bokfjädermossa är typisk art för </w:t>
      </w:r>
      <w:r>
        <w:rPr>
          <w:i/>
        </w:rPr>
        <w:t xml:space="preserve">9020 Nordlig ädellövskog, 9110 Näringsfattig bokskog, 9130 Näringsrik bokskog, 9180 Ädellövskog i branter, 9160 Näringsrik ekskog </w:t>
      </w:r>
      <w:r>
        <w:t>och</w:t>
      </w:r>
      <w:r>
        <w:rPr>
          <w:i/>
        </w:rPr>
        <w:t xml:space="preserve"> 9190 Näringsfattig ekskog</w:t>
      </w:r>
      <w:r>
        <w:t xml:space="preserve"> (SLU Artdatabanken, 2024).</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bokvårtlav (NT, T), koralltaggsvamp (NT, T), barkkornlav (S, T), bokfjädermossa (S, T), fällmossa (S, T), guldlockmossa (S, T), gulnål (S, T), havstulpanlav (S, T) och platt fjädermossa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