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22 meter från avverkningsanmälan finns fynd av 2 naturvårdsarter, varav 1 är rödlistad, 2 är fridlysta och 2 är typiska (T): entita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