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9258-2021 i Falkenbergs kommun</w:t>
      </w:r>
    </w:p>
    <w:p>
      <w:r>
        <w:t>Denna tillsynsbegäran behandlar höga naturvärden i samrådsanmälan S 9258-2021 i Falkenbergs kommun som inkom 2021-11-16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83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925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83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6313554, E 361106 i SWEREF 99 TM.</w:t>
      </w:r>
    </w:p>
    <w:p>
      <w:r>
        <w:t>I samrådsanmälan finns fynd av 5 naturvårdsarter, varav 3 är rödlistade, 2 är typiska (T) och 2 är signalarter (S): skogsalm (EN), desmeknopp (NT), vårstarr (NT), guldlockmossa (S, T) och rostfläck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Desmeknopp (NT)</w:t>
      </w:r>
      <w:r>
        <w:t xml:space="preserve"> förekommer främst i södra delarna av landet, enstaka spridda förekomster finns till åtminstone Medelpad. Växer i skilda miljöer, företrädesvis i lövskog där marken är fuktig, skuggig, närings- och mullrik. Arten har minskat kraftigt under senare år, framför allt på grund av skogsavverkningar och dräneringar. Minskningstakten har uppgått till 25 (15–35) % under de senaste 30 åren och bedöms vara nära gränsvärdet för Sårbar (VU). (A2bc+4abc). Skogsavverkning på lokaler med förekomst av desmeknopp missgynnar eller utplånar arten (SLU Artdatabanken, 2024; Nitare &amp; Skogsstyrelsen, 2019).</w:t>
      </w:r>
    </w:p>
    <w:p>
      <w:r>
        <w:rPr>
          <w:b/>
        </w:rPr>
        <w:t>Guldlockmossa</w:t>
      </w:r>
      <w:r>
        <w:t xml:space="preserve"> växer på solexponerade, basiska klippor och block samt på skrovlig bark vid basen av ädellövträd med rik bark, ofta på gamla ekar, bokar och andra ädellövträd som står öppet i bryn. Särskilt högt signalvärde har den i norra Sverige där den sällsynt kan påträffas i sydväxtberg på klippor med basiska bergarter. Guldlockmossa är typisk art för </w:t>
      </w:r>
      <w:r>
        <w:rPr>
          <w:i/>
        </w:rPr>
        <w:t xml:space="preserve">9110 Näringsfattig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p>
      <w:r>
        <w:rPr>
          <w:b/>
        </w:rPr>
        <w:t xml:space="preserve">Rostfläck </w:t>
      </w:r>
      <w:r>
        <w:t xml:space="preserve">signalerar framför allt höga naturvärden i östra Sverige samt norr om den naturliga norrlandsgränsen. Arten indikerar här skogsmiljöer som under lång tid haft ett konstant fuktigt mikroklimat. Rika förekomster i Norrland visar sannolikt på bestånd med långvarig kontinuitet av gamla träd. När laven påträffas i alkärr signalerar den höga naturvärden inom hela sitt utbredningsområde. Rostfläck är typisk art för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