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5005-2022 i Falkenbergs kommun</w:t>
      </w:r>
    </w:p>
    <w:p>
      <w:r>
        <w:t>Detta dokument behandlar höga naturvärden i avverkningsanmälan A 5005-2022 i Falkenbergs kommun. Denna avverkningsanmälan inkom 2022-02-01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vedlavklubba (VU), grynig filtlav (NT), spillkråka (NT, §4), blåsfliksmossa (S), jättesvampmal (S), klippfrullania (S), stubbspretmossa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5005-2022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6333271, E 363414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Vedlavklubba (VU)</w:t>
      </w:r>
      <w:r>
        <w:t xml:space="preserve"> är en sällsynt art som växer på lågor av lövträd, helst asp och bok. Den förekommer huvudsakligen i skogsmiljöer med rik tillgång på grov död och ved, oftast i skogar med hög luftfuktighet som inte har kalavverkats. Svampen är sannolikt mycket känslig för all form av avverkning eller dränering som medför att växtplatsen får ett torrare mikroklimat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