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5005-2022 i Falkenbergs kommun</w:t>
      </w:r>
    </w:p>
    <w:p>
      <w:r>
        <w:t>Detta dokument behandlar höga naturvärden i avverkningsanmälan A 5005-2022 i Falkenbergs kommun. Denna avverkningsanmälan inkom 2022-02-01 00:00:00 och omfattar 4,1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8 naturvårdsarter hittats: vedlavklubba (VU), grynig filtlav (NT), spillkråka (NT, §4), blåsfliksmossa (S), jättesvampmal (S), klippfrullania (S), stubbspretmossa (S) och gröngöling (§4).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53961"/>
            <wp:docPr id="1" name="Picture 1"/>
            <wp:cNvGraphicFramePr>
              <a:graphicFrameLocks noChangeAspect="1"/>
            </wp:cNvGraphicFramePr>
            <a:graphic>
              <a:graphicData uri="http://schemas.openxmlformats.org/drawingml/2006/picture">
                <pic:pic>
                  <pic:nvPicPr>
                    <pic:cNvPr id="0" name="A 5005-2022 karta.png"/>
                    <pic:cNvPicPr/>
                  </pic:nvPicPr>
                  <pic:blipFill>
                    <a:blip r:embed="rId16"/>
                    <a:stretch>
                      <a:fillRect/>
                    </a:stretch>
                  </pic:blipFill>
                  <pic:spPr>
                    <a:xfrm>
                      <a:off x="0" y="0"/>
                      <a:ext cx="5486400" cy="44539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6333271, E 363414 i SWEREF 99 TM.</w:t>
      </w:r>
    </w:p>
    <w:p>
      <w:r>
        <w:rPr>
          <w:b/>
        </w:rPr>
        <w:t xml:space="preserve">Blåsfliksmossa </w:t>
      </w:r>
      <w:r>
        <w:t>växer i skuggiga och fuktiga miljöer på klippor och stenar av såväl grönsten som silikat, till exempel intill naturliga skogsbäckar, i raviner och bergbranter. Den signalerar höga naturvärden främst i östra och norra Sverige och indikerar miljöer med jämn och hög luftfuktighet och ett basiskt underlag. Artens lokaler har ofta hög artrikedom (Nitare &amp; Skogsstyrelsen, 2019).</w:t>
      </w:r>
    </w:p>
    <w:p>
      <w:r>
        <w:rPr>
          <w:b/>
        </w:rPr>
        <w:t>Grynig filtlav (NT)</w:t>
      </w:r>
      <w:r>
        <w:t xml:space="preserve"> tillhör en grupp fuktighetskrävande, storväxta bladlavar där också bl.a. lunglav (NT) ingår. Den växer framför allt på gamla mossiga stammar av lövträd, särskilt ädellövträd samt asp och sälg, i kulturmarker, lövskogar, halvöppna och lövrika barrblandskogar i områden med hög luftfuktighet. Arten indikerar långvarig förekomst av gamla lövträd och ett mikroklimat med konstant hög och jämn luftfuktighet (SLU Artdatabanken, 2024; Nitare &amp; Skogsstyrelsen, 2019).</w:t>
      </w:r>
    </w:p>
    <w:p>
      <w:r>
        <w:rPr>
          <w:b/>
        </w:rPr>
        <w:t>Stubbspretmossa</w:t>
      </w:r>
      <w:r>
        <w:t xml:space="preserve"> växer på ved i rika löv- och barrskogar med relativt hög luftfuktighet och indikerar fuktiga skogsmiljöer med gott om murken ved och ofta höga naturvärden (SLU Artdatabanken, 2024).</w:t>
      </w:r>
    </w:p>
    <w:p>
      <w:r>
        <w:rPr>
          <w:b/>
        </w:rPr>
        <w:t>Vedlavklubba (VU)</w:t>
      </w:r>
      <w:r>
        <w:t xml:space="preserve"> är en sällsynt art som växer på lågor av lövträd, helst asp och bok. Den förekommer huvudsakligen i skogsmiljöer med rik tillgång på grov död och ved, oftast i skogar med hög luftfuktighet som inte har kalavverkats. Svampen är sannolikt mycket känslig för all form av avverkning eller dränering som medför att växtplatsen får ett torrare mikroklimat (SLU Artdatabanken, 2024; Nitare &amp; Skogsstyrelsen, 2019).</w:t>
      </w:r>
    </w:p>
    <w:p>
      <w:pPr>
        <w:pStyle w:val="Heading1"/>
      </w:pPr>
      <w:r>
        <w:t>Fridlysta arter</w:t>
      </w:r>
    </w:p>
    <w:p>
      <w:r>
        <w:t>Följande fridlysta arter har sina livsmiljöer och växtplatser i den avverkningsanmälda skogen: spillkråka (NT, §4) och gröngöling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