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40022-2024 i Varbergs kommun</w:t>
      </w:r>
    </w:p>
    <w:p>
      <w:r>
        <w:t>Detta dokument behandlar höga naturvärden i avverkningsanmälan A 40022-2024 i Varbergs kommun. Denna avverkningsanmälan inkom 2024-09-12 00:00:00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brunlångöra (NT, §4a), entita (NT, §4), nordfladdermus (NT, §4a), dvärgpipistrell (§4a) och vattenfladdermus (§4a).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92983"/>
            <wp:docPr id="1" name="Picture 1"/>
            <wp:cNvGraphicFramePr>
              <a:graphicFrameLocks noChangeAspect="1"/>
            </wp:cNvGraphicFramePr>
            <a:graphic>
              <a:graphicData uri="http://schemas.openxmlformats.org/drawingml/2006/picture">
                <pic:pic>
                  <pic:nvPicPr>
                    <pic:cNvPr id="0" name="A 40022-2024 karta.png"/>
                    <pic:cNvPicPr/>
                  </pic:nvPicPr>
                  <pic:blipFill>
                    <a:blip r:embed="rId16"/>
                    <a:stretch>
                      <a:fillRect/>
                    </a:stretch>
                  </pic:blipFill>
                  <pic:spPr>
                    <a:xfrm>
                      <a:off x="0" y="0"/>
                      <a:ext cx="5486400" cy="55929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6355205, E 330526 i SWEREF 99 TM.</w:t>
      </w:r>
    </w:p>
    <w:p>
      <w:pPr>
        <w:pStyle w:val="Heading1"/>
      </w:pPr>
      <w:r>
        <w:t>Fridlysta arter</w:t>
      </w:r>
    </w:p>
    <w:p>
      <w:r>
        <w:t>Följande fridlysta arter har sina livsmiljöer och växtplatser i den avverkningsanmälda skogen: brunlångöra (NT, §4a), entita (NT, §4), nordfladdermus (NT, §4a), dvärgpipistrell (§4a) och vattenfladdermus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t>I BILAGA 1 finns mer detaljerad information om ekologi samt krav på livsmiljö hos fridlysta arter.</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